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000" w:firstRow="0" w:lastRow="0" w:firstColumn="0" w:lastColumn="0" w:noHBand="0" w:noVBand="0"/>
      </w:tblPr>
      <w:tblGrid>
        <w:gridCol w:w="3686"/>
        <w:gridCol w:w="5528"/>
      </w:tblGrid>
      <w:tr w:rsidR="00E1144A" w:rsidRPr="00F9240E" w14:paraId="4D16F8F6" w14:textId="77777777" w:rsidTr="00E1144A">
        <w:tc>
          <w:tcPr>
            <w:tcW w:w="3686" w:type="dxa"/>
          </w:tcPr>
          <w:p w14:paraId="7A43CEEE" w14:textId="77777777" w:rsidR="00CE200E" w:rsidRPr="00F9240E" w:rsidRDefault="00CE200E" w:rsidP="00E73FB4">
            <w:pPr>
              <w:jc w:val="center"/>
              <w:rPr>
                <w:bCs/>
                <w:sz w:val="26"/>
                <w:szCs w:val="26"/>
                <w:lang w:val="vi-VN"/>
              </w:rPr>
            </w:pPr>
            <w:r w:rsidRPr="00F9240E">
              <w:rPr>
                <w:bCs/>
                <w:sz w:val="26"/>
                <w:szCs w:val="26"/>
                <w:lang w:val="vi-VN"/>
              </w:rPr>
              <w:t>UBND TỈNH BÌNH PHƯỚC</w:t>
            </w:r>
          </w:p>
          <w:p w14:paraId="166680AB" w14:textId="77777777" w:rsidR="00CE200E" w:rsidRPr="00F9240E" w:rsidRDefault="00CE200E" w:rsidP="00E73FB4">
            <w:pPr>
              <w:jc w:val="center"/>
              <w:rPr>
                <w:b/>
                <w:bCs/>
                <w:sz w:val="26"/>
                <w:szCs w:val="26"/>
                <w:lang w:val="vi-VN"/>
              </w:rPr>
            </w:pPr>
            <w:r w:rsidRPr="00F9240E">
              <w:rPr>
                <w:b/>
                <w:bCs/>
                <w:sz w:val="26"/>
                <w:szCs w:val="26"/>
                <w:lang w:val="vi-VN"/>
              </w:rPr>
              <w:t>SỞ GIÁO DỤC VÀ ĐÀO TẠO</w:t>
            </w:r>
          </w:p>
        </w:tc>
        <w:tc>
          <w:tcPr>
            <w:tcW w:w="5528" w:type="dxa"/>
          </w:tcPr>
          <w:p w14:paraId="7562CB80" w14:textId="77777777" w:rsidR="00CE200E" w:rsidRPr="00CE200E" w:rsidRDefault="00CE200E" w:rsidP="00CE200E">
            <w:pPr>
              <w:jc w:val="center"/>
              <w:rPr>
                <w:bCs/>
                <w:sz w:val="26"/>
                <w:szCs w:val="26"/>
                <w:lang w:val="vi-VN"/>
              </w:rPr>
            </w:pPr>
            <w:r w:rsidRPr="00CE200E">
              <w:rPr>
                <w:bCs/>
                <w:sz w:val="26"/>
                <w:szCs w:val="26"/>
                <w:lang w:val="vi-VN"/>
              </w:rPr>
              <w:t>CỘNG HÒA XÃ HỘI CHỦ NGHĨA VIỆT NAM</w:t>
            </w:r>
          </w:p>
          <w:p w14:paraId="6A25F438" w14:textId="139177D3" w:rsidR="00CE200E" w:rsidRPr="00F9240E" w:rsidRDefault="00CE200E" w:rsidP="00E73FB4">
            <w:pPr>
              <w:jc w:val="center"/>
              <w:rPr>
                <w:b/>
                <w:bCs/>
                <w:lang w:val="vi-VN"/>
              </w:rPr>
            </w:pPr>
            <w:r w:rsidRPr="00F9240E">
              <w:rPr>
                <w:b/>
                <w:bCs/>
                <w:lang w:val="vi-VN"/>
              </w:rPr>
              <w:t>Độc lập - Tự do - Hạnh phúc</w:t>
            </w:r>
          </w:p>
        </w:tc>
      </w:tr>
      <w:tr w:rsidR="00E1144A" w:rsidRPr="00F81563" w14:paraId="43B09C29" w14:textId="77777777" w:rsidTr="00E1144A">
        <w:trPr>
          <w:trHeight w:val="90"/>
        </w:trPr>
        <w:tc>
          <w:tcPr>
            <w:tcW w:w="3686" w:type="dxa"/>
          </w:tcPr>
          <w:p w14:paraId="6A5E717B" w14:textId="48A8853E" w:rsidR="00CE200E" w:rsidRDefault="00CE200E" w:rsidP="00131EBF">
            <w:pPr>
              <w:pStyle w:val="Heading2"/>
              <w:spacing w:before="120"/>
              <w:jc w:val="left"/>
              <w:rPr>
                <w:rFonts w:ascii="Times New Roman" w:hAnsi="Times New Roman"/>
                <w:b w:val="0"/>
                <w:bCs/>
                <w:sz w:val="26"/>
                <w:szCs w:val="26"/>
                <w:lang w:val="vi-VN"/>
              </w:rPr>
            </w:pPr>
            <w:r w:rsidRPr="00E1144A">
              <w:rPr>
                <w:rFonts w:ascii="Times New Roman" w:hAnsi="Times New Roman"/>
                <w:b w:val="0"/>
                <w:bCs/>
                <w:noProof/>
                <w:sz w:val="26"/>
                <w:szCs w:val="26"/>
                <w:lang w:val="vi-VN"/>
              </w:rPr>
              <mc:AlternateContent>
                <mc:Choice Requires="wps">
                  <w:drawing>
                    <wp:anchor distT="0" distB="0" distL="114300" distR="114300" simplePos="0" relativeHeight="251667456" behindDoc="0" locked="0" layoutInCell="1" allowOverlap="1" wp14:anchorId="69E47DCA" wp14:editId="7DBA94E2">
                      <wp:simplePos x="0" y="0"/>
                      <wp:positionH relativeFrom="column">
                        <wp:posOffset>640080</wp:posOffset>
                      </wp:positionH>
                      <wp:positionV relativeFrom="paragraph">
                        <wp:posOffset>635</wp:posOffset>
                      </wp:positionV>
                      <wp:extent cx="963930" cy="0"/>
                      <wp:effectExtent l="0" t="0" r="127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79DB"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05pt" to="126.3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">
                      <o:lock v:ext="edit" shapetype="f"/>
                    </v:line>
                  </w:pict>
                </mc:Fallback>
              </mc:AlternateContent>
            </w:r>
          </w:p>
          <w:p w14:paraId="0559CF6F" w14:textId="71069FD6" w:rsidR="00394B4E" w:rsidRPr="00394B4E" w:rsidRDefault="00394B4E" w:rsidP="00394B4E">
            <w:pPr>
              <w:rPr>
                <w:lang w:val="vi-VN"/>
              </w:rPr>
            </w:pPr>
          </w:p>
        </w:tc>
        <w:tc>
          <w:tcPr>
            <w:tcW w:w="5528" w:type="dxa"/>
          </w:tcPr>
          <w:p w14:paraId="61779589" w14:textId="040C693A" w:rsidR="00CE200E" w:rsidRPr="00F81563" w:rsidRDefault="00E1144A" w:rsidP="00E1144A">
            <w:pPr>
              <w:tabs>
                <w:tab w:val="left" w:pos="1425"/>
                <w:tab w:val="right" w:pos="5256"/>
              </w:tabs>
              <w:spacing w:before="120"/>
              <w:jc w:val="center"/>
              <w:rPr>
                <w:i/>
                <w:iCs/>
                <w:lang w:val="vi-VN"/>
              </w:rPr>
            </w:pPr>
            <w:r w:rsidRPr="00F9240E">
              <w:rPr>
                <w:noProof/>
                <w:lang w:val="vi-VN"/>
              </w:rPr>
              <mc:AlternateContent>
                <mc:Choice Requires="wps">
                  <w:drawing>
                    <wp:anchor distT="0" distB="0" distL="114300" distR="114300" simplePos="0" relativeHeight="251666432" behindDoc="0" locked="0" layoutInCell="1" allowOverlap="1" wp14:anchorId="6963A03E" wp14:editId="6B546176">
                      <wp:simplePos x="0" y="0"/>
                      <wp:positionH relativeFrom="column">
                        <wp:posOffset>572135</wp:posOffset>
                      </wp:positionH>
                      <wp:positionV relativeFrom="paragraph">
                        <wp:posOffset>15240</wp:posOffset>
                      </wp:positionV>
                      <wp:extent cx="2205990" cy="0"/>
                      <wp:effectExtent l="0" t="0" r="16510"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2F5B6"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1.2pt" to="218.7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">
                      <o:lock v:ext="edit" shapetype="f"/>
                    </v:line>
                  </w:pict>
                </mc:Fallback>
              </mc:AlternateContent>
            </w:r>
          </w:p>
        </w:tc>
      </w:tr>
    </w:tbl>
    <w:p w14:paraId="2E69C35B" w14:textId="3584CAF3" w:rsidR="00016A3B" w:rsidRPr="00046E5D" w:rsidRDefault="00016A3B" w:rsidP="00131EBF">
      <w:pPr>
        <w:pStyle w:val="Heading3"/>
        <w:spacing w:before="40"/>
        <w:jc w:val="left"/>
        <w:rPr>
          <w:rFonts w:ascii="Times New Roman" w:hAnsi="Times New Roman"/>
          <w:sz w:val="21"/>
          <w:szCs w:val="27"/>
        </w:rPr>
      </w:pPr>
    </w:p>
    <w:p w14:paraId="138C7C7F" w14:textId="114D75F6" w:rsidR="00CE200E" w:rsidRPr="00E1144A" w:rsidRDefault="00131EBF" w:rsidP="000E2117">
      <w:pPr>
        <w:pStyle w:val="Heading3"/>
        <w:spacing w:before="40"/>
        <w:rPr>
          <w:rFonts w:ascii="Times New Roman" w:hAnsi="Times New Roman"/>
          <w:sz w:val="27"/>
          <w:szCs w:val="27"/>
          <w:lang w:val="vi-VN"/>
        </w:rPr>
      </w:pPr>
      <w:r>
        <w:rPr>
          <w:rFonts w:ascii="Times New Roman" w:hAnsi="Times New Roman"/>
          <w:sz w:val="27"/>
          <w:szCs w:val="27"/>
          <w:lang w:val="vi-VN"/>
        </w:rPr>
        <w:t>BẢN THUYẾT MINH</w:t>
      </w:r>
    </w:p>
    <w:p w14:paraId="7713A492" w14:textId="1AB2335D" w:rsidR="00961739" w:rsidRPr="00133D8F" w:rsidRDefault="00131EBF" w:rsidP="00CE200E">
      <w:pPr>
        <w:pStyle w:val="Heading3"/>
        <w:spacing w:before="40"/>
        <w:rPr>
          <w:rFonts w:ascii="Times New Roman" w:hAnsi="Times New Roman"/>
          <w:sz w:val="28"/>
          <w:szCs w:val="28"/>
        </w:rPr>
      </w:pPr>
      <w:r>
        <w:rPr>
          <w:rFonts w:ascii="Times New Roman" w:hAnsi="Times New Roman"/>
          <w:sz w:val="28"/>
          <w:szCs w:val="28"/>
          <w:lang w:val="vi-VN"/>
        </w:rPr>
        <w:t>Đ</w:t>
      </w:r>
      <w:r w:rsidRPr="00133D8F">
        <w:rPr>
          <w:rFonts w:ascii="Times New Roman" w:hAnsi="Times New Roman"/>
          <w:sz w:val="28"/>
          <w:szCs w:val="28"/>
        </w:rPr>
        <w:t>ề</w:t>
      </w:r>
      <w:r w:rsidRPr="00133D8F">
        <w:rPr>
          <w:rFonts w:ascii="Times New Roman" w:hAnsi="Times New Roman"/>
          <w:sz w:val="28"/>
          <w:szCs w:val="28"/>
          <w:lang w:val="vi-VN"/>
        </w:rPr>
        <w:t xml:space="preserve"> </w:t>
      </w:r>
      <w:r w:rsidR="00CE200E" w:rsidRPr="00133D8F">
        <w:rPr>
          <w:rFonts w:ascii="Times New Roman" w:hAnsi="Times New Roman"/>
          <w:sz w:val="28"/>
          <w:szCs w:val="28"/>
          <w:lang w:val="vi-VN"/>
        </w:rPr>
        <w:t>xuất q</w:t>
      </w:r>
      <w:r w:rsidR="00E777F1" w:rsidRPr="00133D8F">
        <w:rPr>
          <w:rFonts w:ascii="Times New Roman" w:hAnsi="Times New Roman"/>
          <w:sz w:val="28"/>
          <w:szCs w:val="28"/>
          <w:lang w:val="vi-VN"/>
        </w:rPr>
        <w:t xml:space="preserve">uy định </w:t>
      </w:r>
      <w:r w:rsidR="00393986" w:rsidRPr="00133D8F">
        <w:rPr>
          <w:rFonts w:ascii="Times New Roman" w:hAnsi="Times New Roman"/>
          <w:sz w:val="28"/>
          <w:szCs w:val="28"/>
          <w:lang w:val="vi-VN"/>
        </w:rPr>
        <w:t xml:space="preserve">về </w:t>
      </w:r>
      <w:r w:rsidR="00256D11" w:rsidRPr="00133D8F">
        <w:rPr>
          <w:rFonts w:ascii="Times New Roman" w:hAnsi="Times New Roman"/>
          <w:sz w:val="28"/>
          <w:szCs w:val="28"/>
          <w:lang w:val="vi-VN"/>
        </w:rPr>
        <w:t>mức chi kinh phí tập huấn</w:t>
      </w:r>
      <w:r w:rsidR="00E777F1" w:rsidRPr="00133D8F">
        <w:rPr>
          <w:rFonts w:ascii="Times New Roman" w:hAnsi="Times New Roman"/>
          <w:sz w:val="28"/>
          <w:szCs w:val="28"/>
          <w:lang w:val="vi-VN"/>
        </w:rPr>
        <w:t>, bồi dưỡng giáo viên và cán bộ quản lý cơ sở giáo dục để thực hiện chương trình mới, sách giáo khoa mới giáo dục phổ thông trên địa bàn tỉnh Bình Phước</w:t>
      </w:r>
    </w:p>
    <w:p w14:paraId="3FAB0979" w14:textId="64E177DF" w:rsidR="00CE200E" w:rsidRPr="00CE200E" w:rsidRDefault="00E1144A" w:rsidP="00CE200E">
      <w:pPr>
        <w:rPr>
          <w:lang w:val="vi-VN"/>
        </w:rPr>
      </w:pPr>
      <w:r w:rsidRPr="00F9240E">
        <w:rPr>
          <w:noProof/>
          <w:sz w:val="26"/>
          <w:szCs w:val="26"/>
          <w:lang w:val="vi-VN"/>
        </w:rPr>
        <mc:AlternateContent>
          <mc:Choice Requires="wps">
            <w:drawing>
              <wp:anchor distT="0" distB="0" distL="114300" distR="114300" simplePos="0" relativeHeight="251669504" behindDoc="0" locked="0" layoutInCell="1" allowOverlap="1" wp14:anchorId="37DE0C30" wp14:editId="6FAA2934">
                <wp:simplePos x="0" y="0"/>
                <wp:positionH relativeFrom="column">
                  <wp:posOffset>2519680</wp:posOffset>
                </wp:positionH>
                <wp:positionV relativeFrom="paragraph">
                  <wp:posOffset>47023</wp:posOffset>
                </wp:positionV>
                <wp:extent cx="963930" cy="0"/>
                <wp:effectExtent l="0" t="0" r="13970"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D7EB"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pt,3.7pt" to="274.3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">
                <o:lock v:ext="edit" shapetype="f"/>
              </v:line>
            </w:pict>
          </mc:Fallback>
        </mc:AlternateContent>
      </w:r>
    </w:p>
    <w:p w14:paraId="1B615FBD" w14:textId="1C82E6EB" w:rsidR="00170BEB" w:rsidRDefault="00170BEB" w:rsidP="00CE200E">
      <w:pPr>
        <w:spacing w:before="120" w:after="120"/>
        <w:ind w:firstLine="709"/>
        <w:jc w:val="both"/>
        <w:rPr>
          <w:color w:val="000000" w:themeColor="text1"/>
        </w:rPr>
      </w:pPr>
    </w:p>
    <w:p w14:paraId="38B8631D" w14:textId="5215DA4A" w:rsidR="00170BEB" w:rsidRPr="00133D8F" w:rsidRDefault="00133D8F" w:rsidP="00133D8F">
      <w:pPr>
        <w:spacing w:before="120" w:after="120"/>
        <w:ind w:firstLine="709"/>
        <w:jc w:val="both"/>
        <w:rPr>
          <w:lang w:val="vi-VN"/>
        </w:rPr>
      </w:pPr>
      <w:r w:rsidRPr="00133D8F">
        <w:t xml:space="preserve">Thực hiện Công văn số 941/UBND-TH ngày 27/4/2022 của Ủy ban nhân dân tỉnh về việc phân công nhiệm vụ chuẩn bị nội dung trình Hội đồng nhân dân tỉnh thông qua tại kỳ họp giữa năm 2022, Sở Giáo dục và Đào tạo </w:t>
      </w:r>
      <w:r w:rsidR="00E1144A">
        <w:t>báo</w:t>
      </w:r>
      <w:r w:rsidR="00E1144A">
        <w:rPr>
          <w:lang w:val="vi-VN"/>
        </w:rPr>
        <w:t xml:space="preserve"> cáo </w:t>
      </w:r>
      <w:r w:rsidRPr="00133D8F">
        <w:t xml:space="preserve">thuyết minh </w:t>
      </w:r>
      <w:r>
        <w:t>các</w:t>
      </w:r>
      <w:r>
        <w:rPr>
          <w:lang w:val="vi-VN"/>
        </w:rPr>
        <w:t xml:space="preserve"> mức đ</w:t>
      </w:r>
      <w:r w:rsidRPr="00133D8F">
        <w:t>ề xuất quy định về nội dung, mức chi kinh phí tập huấn, bồi dưỡng giáo viên và cán bộ quản lý cơ sở giáo dục để thực hiện chương trình mới, sách giáo khoa mới giáo dục phổ thông trên địa bàn tỉnh Bình Phước</w:t>
      </w:r>
      <w:r>
        <w:rPr>
          <w:lang w:val="vi-VN"/>
        </w:rPr>
        <w:t xml:space="preserve"> như sau:</w:t>
      </w:r>
    </w:p>
    <w:p w14:paraId="79C8222B" w14:textId="77777777" w:rsidR="00E53A28" w:rsidRPr="00046E5D" w:rsidRDefault="00E53A28" w:rsidP="00E53A28">
      <w:pPr>
        <w:spacing w:before="120" w:after="120"/>
        <w:ind w:firstLine="709"/>
        <w:jc w:val="both"/>
        <w:rPr>
          <w:bCs/>
        </w:rPr>
      </w:pPr>
      <w:r w:rsidRPr="00046E5D">
        <w:rPr>
          <w:bCs/>
        </w:rPr>
        <w:t>1. Chi tạo lập mới hoặc thuê hệ thống quản lý học tập trực tuyến</w:t>
      </w:r>
    </w:p>
    <w:p w14:paraId="2CB7390E" w14:textId="1A89DEEA" w:rsidR="00E53A28" w:rsidRPr="00E53A28" w:rsidRDefault="00E53A28" w:rsidP="00E53A28">
      <w:pPr>
        <w:spacing w:before="120" w:after="120"/>
        <w:ind w:firstLine="709"/>
        <w:jc w:val="both"/>
      </w:pPr>
      <w:r w:rsidRPr="00E53A28">
        <w:t>Giữ nguyên theo quy định tại Thông tư số 83/2021/TT-BTC ngày 04 tháng 10 năm 2021 của Bộ trưởng Bộ Tài chính hướng dẫn quản lý kinh phí tập huấn, bồi dưỡng giáo viên và cán bộ quản lý cơ sở giáo dục để thực hiện chương trình mới, sách giáo khoa mới giáo dục phổ thông.</w:t>
      </w:r>
    </w:p>
    <w:p w14:paraId="6FC3CD5C" w14:textId="730691C9" w:rsidR="00E53A28" w:rsidRDefault="00E53A28" w:rsidP="00E53A28">
      <w:pPr>
        <w:spacing w:before="120" w:after="120"/>
        <w:ind w:firstLine="709"/>
        <w:jc w:val="both"/>
        <w:rPr>
          <w:bCs/>
        </w:rPr>
      </w:pPr>
      <w:r w:rsidRPr="00046E5D">
        <w:rPr>
          <w:bCs/>
        </w:rPr>
        <w:t xml:space="preserve">2. Chi điều tra, khảo sát xây dựng kế hoạch tập huấn, bồi dưỡng: </w:t>
      </w:r>
    </w:p>
    <w:p w14:paraId="52E5F4EF" w14:textId="77777777" w:rsidR="00E53A28" w:rsidRPr="00046E5D" w:rsidRDefault="00E53A28" w:rsidP="00E53A28">
      <w:pPr>
        <w:spacing w:before="120" w:after="120"/>
        <w:ind w:firstLine="709"/>
        <w:jc w:val="both"/>
        <w:rPr>
          <w:bCs/>
          <w:lang w:val="vi-VN"/>
        </w:rPr>
      </w:pPr>
      <w:r w:rsidRPr="00046E5D">
        <w:rPr>
          <w:bCs/>
          <w:lang w:val="vi-VN"/>
        </w:rPr>
        <w:t>a) Chi xây dựng phương án điều tra thống kê và lập mẫu phiếu điều tra thống kê:</w:t>
      </w:r>
    </w:p>
    <w:p w14:paraId="5AF25E06" w14:textId="54EC2253" w:rsidR="00E53A28" w:rsidRPr="00046E5D" w:rsidRDefault="00E53A28" w:rsidP="00E53A28">
      <w:pPr>
        <w:spacing w:before="120" w:after="120"/>
        <w:ind w:firstLine="709"/>
        <w:jc w:val="both"/>
        <w:rPr>
          <w:bCs/>
          <w:lang w:val="vi-VN"/>
        </w:rPr>
      </w:pPr>
      <w:r w:rsidRPr="00046E5D">
        <w:rPr>
          <w:bCs/>
          <w:lang w:val="vi-VN"/>
        </w:rPr>
        <w:t>- Cấp tỉnh: 27.000.000 đồng</w:t>
      </w:r>
      <w:r>
        <w:rPr>
          <w:bCs/>
          <w:lang w:val="vi-VN"/>
        </w:rPr>
        <w:t xml:space="preserve"> (</w:t>
      </w:r>
      <w:r w:rsidR="00CB3F9D" w:rsidRPr="00012A15">
        <w:rPr>
          <w:i/>
          <w:iCs/>
          <w:lang w:val="vi-VN"/>
        </w:rPr>
        <w:t xml:space="preserve">mức chi tại điểm a </w:t>
      </w:r>
      <w:r w:rsidR="00131EBF">
        <w:rPr>
          <w:i/>
          <w:iCs/>
          <w:lang w:val="vi-VN"/>
        </w:rPr>
        <w:t>k</w:t>
      </w:r>
      <w:r w:rsidR="00CB3F9D" w:rsidRPr="00012A15">
        <w:rPr>
          <w:i/>
          <w:iCs/>
          <w:lang w:val="vi-VN"/>
        </w:rPr>
        <w:t>hoản 1</w:t>
      </w:r>
      <w:r w:rsidR="00131EBF">
        <w:rPr>
          <w:i/>
          <w:iCs/>
          <w:lang w:val="vi-VN"/>
        </w:rPr>
        <w:t xml:space="preserve"> </w:t>
      </w:r>
      <w:r w:rsidR="00CB3F9D" w:rsidRPr="00012A15">
        <w:rPr>
          <w:i/>
          <w:iCs/>
          <w:lang w:val="vi-VN"/>
        </w:rPr>
        <w:t xml:space="preserve"> Điều 3</w:t>
      </w:r>
      <w:r w:rsidR="00131EBF">
        <w:rPr>
          <w:i/>
          <w:iCs/>
          <w:lang w:val="vi-VN"/>
        </w:rPr>
        <w:t xml:space="preserve"> </w:t>
      </w:r>
      <w:r w:rsidR="00CB3F9D" w:rsidRPr="00012A15">
        <w:rPr>
          <w:i/>
          <w:iCs/>
          <w:lang w:val="vi-VN"/>
        </w:rPr>
        <w:t xml:space="preserve"> Thông tư số 109/2016/TT-BTC</w:t>
      </w:r>
      <w:r w:rsidR="00131EBF">
        <w:rPr>
          <w:i/>
          <w:iCs/>
          <w:lang w:val="vi-VN"/>
        </w:rPr>
        <w:t xml:space="preserve"> tối đa là 30.000.000, đề xuất mức chi bằng 90% tương ứng 27.000.000 đồng</w:t>
      </w:r>
      <w:r w:rsidR="00CB3F9D">
        <w:rPr>
          <w:lang w:val="vi-VN"/>
        </w:rPr>
        <w:t>)</w:t>
      </w:r>
      <w:r w:rsidR="00012A15">
        <w:rPr>
          <w:lang w:val="vi-VN"/>
        </w:rPr>
        <w:t>.</w:t>
      </w:r>
    </w:p>
    <w:p w14:paraId="4BFACCAC" w14:textId="63B9E626" w:rsidR="00131EBF" w:rsidRPr="00046E5D" w:rsidRDefault="00E53A28" w:rsidP="00131EBF">
      <w:pPr>
        <w:spacing w:before="120" w:after="120"/>
        <w:ind w:firstLine="709"/>
        <w:jc w:val="both"/>
        <w:rPr>
          <w:bCs/>
          <w:lang w:val="vi-VN"/>
        </w:rPr>
      </w:pPr>
      <w:r w:rsidRPr="00046E5D">
        <w:rPr>
          <w:bCs/>
          <w:lang w:val="vi-VN"/>
        </w:rPr>
        <w:t>- Cấp huyện: 21</w:t>
      </w:r>
      <w:r>
        <w:rPr>
          <w:bCs/>
          <w:lang w:val="vi-VN"/>
        </w:rPr>
        <w:t>.000.000</w:t>
      </w:r>
      <w:r w:rsidR="00131EBF">
        <w:rPr>
          <w:bCs/>
          <w:lang w:val="vi-VN"/>
        </w:rPr>
        <w:t xml:space="preserve"> </w:t>
      </w:r>
      <w:r w:rsidRPr="00046E5D">
        <w:rPr>
          <w:bCs/>
          <w:lang w:val="vi-VN"/>
        </w:rPr>
        <w:t>đồng</w:t>
      </w:r>
      <w:r w:rsidR="00CB3F9D">
        <w:rPr>
          <w:bCs/>
          <w:lang w:val="vi-VN"/>
        </w:rPr>
        <w:t xml:space="preserve"> </w:t>
      </w:r>
      <w:r w:rsidR="00131EBF">
        <w:rPr>
          <w:bCs/>
          <w:lang w:val="vi-VN"/>
        </w:rPr>
        <w:t>(</w:t>
      </w:r>
      <w:r w:rsidR="00131EBF" w:rsidRPr="00012A15">
        <w:rPr>
          <w:i/>
          <w:iCs/>
          <w:lang w:val="vi-VN"/>
        </w:rPr>
        <w:t xml:space="preserve">mức chi tại điểm a </w:t>
      </w:r>
      <w:r w:rsidR="00131EBF">
        <w:rPr>
          <w:i/>
          <w:iCs/>
          <w:lang w:val="vi-VN"/>
        </w:rPr>
        <w:t>k</w:t>
      </w:r>
      <w:r w:rsidR="00131EBF" w:rsidRPr="00012A15">
        <w:rPr>
          <w:i/>
          <w:iCs/>
          <w:lang w:val="vi-VN"/>
        </w:rPr>
        <w:t>hoản 1</w:t>
      </w:r>
      <w:r w:rsidR="00131EBF">
        <w:rPr>
          <w:i/>
          <w:iCs/>
          <w:lang w:val="vi-VN"/>
        </w:rPr>
        <w:t xml:space="preserve"> </w:t>
      </w:r>
      <w:r w:rsidR="00131EBF" w:rsidRPr="00012A15">
        <w:rPr>
          <w:i/>
          <w:iCs/>
          <w:lang w:val="vi-VN"/>
        </w:rPr>
        <w:t xml:space="preserve"> Điều 3</w:t>
      </w:r>
      <w:r w:rsidR="00131EBF">
        <w:rPr>
          <w:i/>
          <w:iCs/>
          <w:lang w:val="vi-VN"/>
        </w:rPr>
        <w:t xml:space="preserve"> </w:t>
      </w:r>
      <w:r w:rsidR="00131EBF" w:rsidRPr="00012A15">
        <w:rPr>
          <w:i/>
          <w:iCs/>
          <w:lang w:val="vi-VN"/>
        </w:rPr>
        <w:t xml:space="preserve"> Thông tư số 109/2016/TT-BTC</w:t>
      </w:r>
      <w:r w:rsidR="00131EBF">
        <w:rPr>
          <w:i/>
          <w:iCs/>
          <w:lang w:val="vi-VN"/>
        </w:rPr>
        <w:t xml:space="preserve"> tối đa là 30.000.000, đề xuất mức chi bằng 70% tương ứng 21.000.000 đồng</w:t>
      </w:r>
      <w:r w:rsidR="00131EBF">
        <w:rPr>
          <w:lang w:val="vi-VN"/>
        </w:rPr>
        <w:t>).</w:t>
      </w:r>
    </w:p>
    <w:p w14:paraId="73609DEF" w14:textId="77777777" w:rsidR="00E53A28" w:rsidRPr="00046E5D" w:rsidRDefault="00E53A28" w:rsidP="00E53A28">
      <w:pPr>
        <w:spacing w:before="120" w:after="120"/>
        <w:ind w:firstLine="709"/>
        <w:jc w:val="both"/>
        <w:rPr>
          <w:bCs/>
          <w:lang w:val="vi-VN"/>
        </w:rPr>
      </w:pPr>
      <w:r w:rsidRPr="00046E5D">
        <w:rPr>
          <w:bCs/>
          <w:lang w:val="vi-VN"/>
        </w:rPr>
        <w:t>b) Chi tổng hợp, phân tích, đánh giá kết quả điều tra thống kê:</w:t>
      </w:r>
    </w:p>
    <w:p w14:paraId="3444D7C1" w14:textId="205237AE" w:rsidR="00131EBF" w:rsidRPr="00046E5D" w:rsidRDefault="00E53A28" w:rsidP="00131EBF">
      <w:pPr>
        <w:spacing w:before="120" w:after="120"/>
        <w:ind w:firstLine="709"/>
        <w:jc w:val="both"/>
        <w:rPr>
          <w:bCs/>
          <w:lang w:val="vi-VN"/>
        </w:rPr>
      </w:pPr>
      <w:r w:rsidRPr="00046E5D">
        <w:rPr>
          <w:bCs/>
          <w:lang w:val="vi-VN"/>
        </w:rPr>
        <w:t xml:space="preserve">- Cấp tỉnh: </w:t>
      </w:r>
      <w:r>
        <w:rPr>
          <w:bCs/>
          <w:lang w:val="vi-VN"/>
        </w:rPr>
        <w:t>9</w:t>
      </w:r>
      <w:r w:rsidRPr="00046E5D">
        <w:rPr>
          <w:bCs/>
          <w:lang w:val="vi-VN"/>
        </w:rPr>
        <w:t>.000.000 đồng</w:t>
      </w:r>
      <w:r w:rsidR="00CB3F9D">
        <w:rPr>
          <w:bCs/>
          <w:lang w:val="vi-VN"/>
        </w:rPr>
        <w:t xml:space="preserve"> </w:t>
      </w:r>
      <w:r w:rsidR="00131EBF">
        <w:rPr>
          <w:bCs/>
          <w:lang w:val="vi-VN"/>
        </w:rPr>
        <w:t>(</w:t>
      </w:r>
      <w:r w:rsidR="00131EBF" w:rsidRPr="00012A15">
        <w:rPr>
          <w:i/>
          <w:iCs/>
          <w:lang w:val="vi-VN"/>
        </w:rPr>
        <w:t xml:space="preserve">mức chi tại điểm </w:t>
      </w:r>
      <w:r w:rsidR="00131EBF">
        <w:rPr>
          <w:i/>
          <w:iCs/>
          <w:lang w:val="vi-VN"/>
        </w:rPr>
        <w:t>b k</w:t>
      </w:r>
      <w:r w:rsidR="00131EBF" w:rsidRPr="00012A15">
        <w:rPr>
          <w:i/>
          <w:iCs/>
          <w:lang w:val="vi-VN"/>
        </w:rPr>
        <w:t>hoản 1</w:t>
      </w:r>
      <w:r w:rsidR="00131EBF">
        <w:rPr>
          <w:i/>
          <w:iCs/>
          <w:lang w:val="vi-VN"/>
        </w:rPr>
        <w:t xml:space="preserve"> </w:t>
      </w:r>
      <w:r w:rsidR="00131EBF" w:rsidRPr="00012A15">
        <w:rPr>
          <w:i/>
          <w:iCs/>
          <w:lang w:val="vi-VN"/>
        </w:rPr>
        <w:t xml:space="preserve"> Điều 3</w:t>
      </w:r>
      <w:r w:rsidR="00131EBF">
        <w:rPr>
          <w:i/>
          <w:iCs/>
          <w:lang w:val="vi-VN"/>
        </w:rPr>
        <w:t xml:space="preserve"> </w:t>
      </w:r>
      <w:r w:rsidR="00131EBF" w:rsidRPr="00012A15">
        <w:rPr>
          <w:i/>
          <w:iCs/>
          <w:lang w:val="vi-VN"/>
        </w:rPr>
        <w:t xml:space="preserve"> Thông tư số 109/2016/TT-BTC</w:t>
      </w:r>
      <w:r w:rsidR="00131EBF">
        <w:rPr>
          <w:i/>
          <w:iCs/>
          <w:lang w:val="vi-VN"/>
        </w:rPr>
        <w:t xml:space="preserve"> tối đa là </w:t>
      </w:r>
      <w:r w:rsidR="00442898">
        <w:rPr>
          <w:i/>
          <w:iCs/>
          <w:lang w:val="vi-VN"/>
        </w:rPr>
        <w:t>1</w:t>
      </w:r>
      <w:r w:rsidR="00131EBF">
        <w:rPr>
          <w:i/>
          <w:iCs/>
          <w:lang w:val="vi-VN"/>
        </w:rPr>
        <w:t xml:space="preserve">0.000.000, đề xuất mức chi bằng 90% tương ứng </w:t>
      </w:r>
      <w:r w:rsidR="00442898">
        <w:rPr>
          <w:i/>
          <w:iCs/>
          <w:lang w:val="vi-VN"/>
        </w:rPr>
        <w:t>9</w:t>
      </w:r>
      <w:r w:rsidR="00131EBF">
        <w:rPr>
          <w:i/>
          <w:iCs/>
          <w:lang w:val="vi-VN"/>
        </w:rPr>
        <w:t>.000.000 đồng</w:t>
      </w:r>
      <w:r w:rsidR="00131EBF">
        <w:rPr>
          <w:lang w:val="vi-VN"/>
        </w:rPr>
        <w:t>).</w:t>
      </w:r>
    </w:p>
    <w:p w14:paraId="2C1095BE" w14:textId="3C062727" w:rsidR="00442898" w:rsidRPr="00046E5D" w:rsidRDefault="00E53A28" w:rsidP="00442898">
      <w:pPr>
        <w:spacing w:before="120" w:after="120"/>
        <w:ind w:firstLine="709"/>
        <w:jc w:val="both"/>
        <w:rPr>
          <w:bCs/>
          <w:lang w:val="vi-VN"/>
        </w:rPr>
      </w:pPr>
      <w:r w:rsidRPr="00046E5D">
        <w:rPr>
          <w:bCs/>
          <w:lang w:val="vi-VN"/>
        </w:rPr>
        <w:t>- Cấp huyện: 7.000.000 đồng</w:t>
      </w:r>
      <w:r w:rsidR="00CB3F9D">
        <w:rPr>
          <w:bCs/>
          <w:lang w:val="vi-VN"/>
        </w:rPr>
        <w:t xml:space="preserve"> </w:t>
      </w:r>
      <w:r w:rsidR="00442898">
        <w:rPr>
          <w:bCs/>
          <w:lang w:val="vi-VN"/>
        </w:rPr>
        <w:t>(</w:t>
      </w:r>
      <w:r w:rsidR="00442898" w:rsidRPr="00012A15">
        <w:rPr>
          <w:i/>
          <w:iCs/>
          <w:lang w:val="vi-VN"/>
        </w:rPr>
        <w:t xml:space="preserve">mức chi tại điểm </w:t>
      </w:r>
      <w:r w:rsidR="00442898">
        <w:rPr>
          <w:i/>
          <w:iCs/>
          <w:lang w:val="vi-VN"/>
        </w:rPr>
        <w:t>b k</w:t>
      </w:r>
      <w:r w:rsidR="00442898" w:rsidRPr="00012A15">
        <w:rPr>
          <w:i/>
          <w:iCs/>
          <w:lang w:val="vi-VN"/>
        </w:rPr>
        <w:t>hoản 1</w:t>
      </w:r>
      <w:r w:rsidR="00442898">
        <w:rPr>
          <w:i/>
          <w:iCs/>
          <w:lang w:val="vi-VN"/>
        </w:rPr>
        <w:t xml:space="preserve"> </w:t>
      </w:r>
      <w:r w:rsidR="00442898" w:rsidRPr="00012A15">
        <w:rPr>
          <w:i/>
          <w:iCs/>
          <w:lang w:val="vi-VN"/>
        </w:rPr>
        <w:t xml:space="preserve"> Điều 3</w:t>
      </w:r>
      <w:r w:rsidR="00442898">
        <w:rPr>
          <w:i/>
          <w:iCs/>
          <w:lang w:val="vi-VN"/>
        </w:rPr>
        <w:t xml:space="preserve"> </w:t>
      </w:r>
      <w:r w:rsidR="00442898" w:rsidRPr="00012A15">
        <w:rPr>
          <w:i/>
          <w:iCs/>
          <w:lang w:val="vi-VN"/>
        </w:rPr>
        <w:t xml:space="preserve"> Thông tư số 109/2016/TT-BTC</w:t>
      </w:r>
      <w:r w:rsidR="00442898">
        <w:rPr>
          <w:i/>
          <w:iCs/>
          <w:lang w:val="vi-VN"/>
        </w:rPr>
        <w:t xml:space="preserve"> tối đa là 10.000.000, đề xuất mức chi bằng 70% tương ứng 7.000.000 đồng</w:t>
      </w:r>
      <w:r w:rsidR="00442898">
        <w:rPr>
          <w:lang w:val="vi-VN"/>
        </w:rPr>
        <w:t>).</w:t>
      </w:r>
    </w:p>
    <w:p w14:paraId="7F646FD2" w14:textId="39E0D62C" w:rsidR="00094AE6" w:rsidRDefault="00094AE6" w:rsidP="00094AE6">
      <w:pPr>
        <w:spacing w:before="120" w:after="120"/>
        <w:ind w:firstLine="709"/>
        <w:jc w:val="both"/>
        <w:rPr>
          <w:bCs/>
          <w:lang w:val="vi-VN"/>
        </w:rPr>
      </w:pPr>
      <w:r w:rsidRPr="00046E5D">
        <w:rPr>
          <w:bCs/>
        </w:rPr>
        <w:lastRenderedPageBreak/>
        <w:t xml:space="preserve">3. Chi tổ chức các cuộc họp, hội thảo, hội nghị có liên quan; chi đi công tác để kiểm tra, giám sát, đảm bảo chất lượng, đánh giá kết quả tập huấn, bồi dưỡng: </w:t>
      </w:r>
      <w:r w:rsidR="00012A15" w:rsidRPr="00012A15">
        <w:rPr>
          <w:bCs/>
          <w:i/>
          <w:iCs/>
        </w:rPr>
        <w:t>Đề</w:t>
      </w:r>
      <w:r w:rsidR="00012A15" w:rsidRPr="00012A15">
        <w:rPr>
          <w:bCs/>
          <w:i/>
          <w:iCs/>
          <w:lang w:val="vi-VN"/>
        </w:rPr>
        <w:t xml:space="preserve"> xuất t</w:t>
      </w:r>
      <w:r w:rsidRPr="00012A15">
        <w:rPr>
          <w:bCs/>
          <w:i/>
          <w:iCs/>
        </w:rPr>
        <w:t>hực hiện theo quy định tại</w:t>
      </w:r>
      <w:r w:rsidRPr="00012A15">
        <w:rPr>
          <w:bCs/>
          <w:i/>
          <w:iCs/>
          <w:lang w:val="vi-VN"/>
        </w:rPr>
        <w:t xml:space="preserve"> Nghị quyết</w:t>
      </w:r>
      <w:r w:rsidRPr="00012A15">
        <w:rPr>
          <w:bCs/>
          <w:i/>
          <w:iCs/>
        </w:rPr>
        <w:t xml:space="preserve"> số </w:t>
      </w:r>
      <w:r w:rsidRPr="00012A15">
        <w:rPr>
          <w:bCs/>
          <w:i/>
          <w:iCs/>
          <w:lang w:val="vi-VN"/>
        </w:rPr>
        <w:t>53</w:t>
      </w:r>
      <w:r w:rsidRPr="00012A15">
        <w:rPr>
          <w:bCs/>
          <w:i/>
          <w:iCs/>
        </w:rPr>
        <w:t xml:space="preserve">/2017/NQ-HĐND ngày </w:t>
      </w:r>
      <w:r w:rsidRPr="00012A15">
        <w:rPr>
          <w:bCs/>
          <w:i/>
          <w:iCs/>
          <w:lang w:val="vi-VN"/>
        </w:rPr>
        <w:t>12</w:t>
      </w:r>
      <w:r w:rsidRPr="00012A15">
        <w:rPr>
          <w:bCs/>
          <w:i/>
          <w:iCs/>
        </w:rPr>
        <w:t xml:space="preserve"> tháng </w:t>
      </w:r>
      <w:r w:rsidRPr="00012A15">
        <w:rPr>
          <w:bCs/>
          <w:i/>
          <w:iCs/>
          <w:lang w:val="vi-VN"/>
        </w:rPr>
        <w:t>12</w:t>
      </w:r>
      <w:r w:rsidRPr="00012A15">
        <w:rPr>
          <w:bCs/>
          <w:i/>
          <w:iCs/>
        </w:rPr>
        <w:t xml:space="preserve"> năm 2017 của Hội</w:t>
      </w:r>
      <w:r w:rsidRPr="00012A15">
        <w:rPr>
          <w:bCs/>
          <w:i/>
          <w:iCs/>
          <w:lang w:val="vi-VN"/>
        </w:rPr>
        <w:t xml:space="preserve"> đồng nhân dân</w:t>
      </w:r>
      <w:r w:rsidRPr="00046E5D">
        <w:rPr>
          <w:bCs/>
          <w:lang w:val="vi-VN"/>
        </w:rPr>
        <w:t xml:space="preserve"> </w:t>
      </w:r>
      <w:r w:rsidRPr="00442898">
        <w:rPr>
          <w:bCs/>
          <w:i/>
          <w:iCs/>
          <w:lang w:val="vi-VN"/>
        </w:rPr>
        <w:t xml:space="preserve">tỉnh quy định </w:t>
      </w:r>
      <w:r w:rsidRPr="00442898">
        <w:rPr>
          <w:bCs/>
          <w:i/>
          <w:iCs/>
        </w:rPr>
        <w:t>chế độ công tác phí, chế độ chi hội nghị trên</w:t>
      </w:r>
      <w:r w:rsidRPr="00442898">
        <w:rPr>
          <w:bCs/>
          <w:i/>
          <w:iCs/>
          <w:lang w:val="vi-VN"/>
        </w:rPr>
        <w:t xml:space="preserve"> địa bàn tỉnh Bình Phước</w:t>
      </w:r>
      <w:r>
        <w:rPr>
          <w:bCs/>
          <w:lang w:val="vi-VN"/>
        </w:rPr>
        <w:t>.</w:t>
      </w:r>
    </w:p>
    <w:p w14:paraId="5BE7426E" w14:textId="119AF635" w:rsidR="00094AE6" w:rsidRPr="00046E5D" w:rsidRDefault="00094AE6" w:rsidP="00094AE6">
      <w:pPr>
        <w:spacing w:before="120" w:after="120"/>
        <w:ind w:firstLine="709"/>
        <w:jc w:val="both"/>
        <w:rPr>
          <w:bCs/>
        </w:rPr>
      </w:pPr>
      <w:r w:rsidRPr="00046E5D">
        <w:rPr>
          <w:bCs/>
        </w:rPr>
        <w:t xml:space="preserve">4. Chi biên soạn chương trình, giáo trình, tài liệu tập huấn, bồi dưỡng mới; Chi chỉnh sửa, bổ sung cập nhật chương trình, giáo trình tài liệu tập huấn, bồi dưỡng: </w:t>
      </w:r>
    </w:p>
    <w:p w14:paraId="51EC6305" w14:textId="73417E9E" w:rsidR="00094AE6" w:rsidRPr="00012A15" w:rsidRDefault="00094AE6" w:rsidP="00094AE6">
      <w:pPr>
        <w:spacing w:before="120" w:after="120"/>
        <w:ind w:firstLine="709"/>
        <w:jc w:val="both"/>
        <w:rPr>
          <w:bCs/>
          <w:i/>
          <w:iCs/>
          <w:lang w:val="vi-VN"/>
        </w:rPr>
      </w:pPr>
      <w:r w:rsidRPr="00046E5D">
        <w:rPr>
          <w:bCs/>
          <w:lang w:val="vi-VN"/>
        </w:rPr>
        <w:t xml:space="preserve">a) Thuê cơ sở giáo dục đại học: </w:t>
      </w:r>
      <w:r w:rsidRPr="00012A15">
        <w:rPr>
          <w:bCs/>
          <w:i/>
          <w:iCs/>
          <w:lang w:val="vi-VN"/>
        </w:rPr>
        <w:t xml:space="preserve">bằng 100% </w:t>
      </w:r>
      <w:r w:rsidR="000D7514" w:rsidRPr="000D7514">
        <w:rPr>
          <w:bCs/>
          <w:i/>
          <w:iCs/>
          <w:lang w:val="vi-VN"/>
        </w:rPr>
        <w:t xml:space="preserve">mức chi tối đa theo </w:t>
      </w:r>
      <w:r w:rsidR="000D7514" w:rsidRPr="000D7514">
        <w:rPr>
          <w:i/>
          <w:iCs/>
          <w:color w:val="000000"/>
          <w:lang w:val="nl-NL"/>
        </w:rPr>
        <w:t>Thông tư liên tịch số 55/2015/TTLT-BTC-BKHCN</w:t>
      </w:r>
      <w:r w:rsidR="000D7514" w:rsidRPr="00012A15">
        <w:rPr>
          <w:bCs/>
          <w:i/>
          <w:iCs/>
          <w:lang w:val="vi-VN"/>
        </w:rPr>
        <w:t xml:space="preserve"> </w:t>
      </w:r>
      <w:r w:rsidR="000D7514">
        <w:rPr>
          <w:bCs/>
          <w:i/>
          <w:iCs/>
          <w:lang w:val="vi-VN"/>
        </w:rPr>
        <w:t>(</w:t>
      </w:r>
      <w:r w:rsidRPr="00012A15">
        <w:rPr>
          <w:bCs/>
          <w:i/>
          <w:iCs/>
        </w:rPr>
        <w:t>Thông tư số 76/2018/TT-BTC</w:t>
      </w:r>
      <w:r w:rsidR="000D7514">
        <w:rPr>
          <w:bCs/>
          <w:i/>
          <w:iCs/>
          <w:lang w:val="vi-VN"/>
        </w:rPr>
        <w:t xml:space="preserve"> hướng dẫn chi </w:t>
      </w:r>
      <w:r w:rsidR="000D7514" w:rsidRPr="000D7514">
        <w:rPr>
          <w:bCs/>
          <w:i/>
          <w:iCs/>
          <w:lang w:val="vi-VN"/>
        </w:rPr>
        <w:t xml:space="preserve">theo </w:t>
      </w:r>
      <w:r w:rsidR="000D7514" w:rsidRPr="000D7514">
        <w:rPr>
          <w:i/>
          <w:iCs/>
        </w:rPr>
        <w:t xml:space="preserve">Điều 7, Điều 8 và Điều 9 </w:t>
      </w:r>
      <w:r w:rsidR="000D7514" w:rsidRPr="000D7514">
        <w:rPr>
          <w:i/>
          <w:iCs/>
          <w:color w:val="000000"/>
          <w:lang w:val="nl-NL"/>
        </w:rPr>
        <w:t>Thông tư liên tịch số 55/2015/TTLT-BTC-BKHCN</w:t>
      </w:r>
      <w:r w:rsidR="000D7514">
        <w:rPr>
          <w:bCs/>
          <w:i/>
          <w:iCs/>
          <w:lang w:val="vi-VN"/>
        </w:rPr>
        <w:t>)</w:t>
      </w:r>
      <w:r w:rsidRPr="00012A15">
        <w:rPr>
          <w:bCs/>
          <w:i/>
          <w:iCs/>
          <w:lang w:val="vi-VN"/>
        </w:rPr>
        <w:t>.</w:t>
      </w:r>
    </w:p>
    <w:p w14:paraId="749F8BEF" w14:textId="605A0806" w:rsidR="00094AE6" w:rsidRPr="000D7514" w:rsidRDefault="00094AE6" w:rsidP="00094AE6">
      <w:pPr>
        <w:spacing w:before="120" w:after="120"/>
        <w:ind w:firstLine="709"/>
        <w:jc w:val="both"/>
        <w:rPr>
          <w:bCs/>
          <w:i/>
          <w:iCs/>
          <w:lang w:val="vi-VN"/>
        </w:rPr>
      </w:pPr>
      <w:r w:rsidRPr="00046E5D">
        <w:rPr>
          <w:bCs/>
          <w:lang w:val="vi-VN"/>
        </w:rPr>
        <w:t xml:space="preserve">b) Cấp tỉnh: </w:t>
      </w:r>
      <w:r w:rsidR="000D7514" w:rsidRPr="00012A15">
        <w:rPr>
          <w:bCs/>
          <w:i/>
          <w:iCs/>
          <w:lang w:val="vi-VN"/>
        </w:rPr>
        <w:t xml:space="preserve">bằng </w:t>
      </w:r>
      <w:r w:rsidR="000D7514">
        <w:rPr>
          <w:bCs/>
          <w:i/>
          <w:iCs/>
          <w:lang w:val="vi-VN"/>
        </w:rPr>
        <w:t>90</w:t>
      </w:r>
      <w:r w:rsidR="000D7514" w:rsidRPr="000D7514">
        <w:rPr>
          <w:bCs/>
          <w:lang w:val="vi-VN"/>
        </w:rPr>
        <w:t xml:space="preserve">% </w:t>
      </w:r>
      <w:r w:rsidR="000D7514" w:rsidRPr="000D7514">
        <w:rPr>
          <w:bCs/>
          <w:i/>
          <w:iCs/>
          <w:lang w:val="vi-VN"/>
        </w:rPr>
        <w:t xml:space="preserve">mức chi tối đa theo </w:t>
      </w:r>
      <w:r w:rsidR="000D7514" w:rsidRPr="000D7514">
        <w:rPr>
          <w:i/>
          <w:iCs/>
          <w:color w:val="000000"/>
          <w:lang w:val="nl-NL"/>
        </w:rPr>
        <w:t>Thông tư liên tịch số 55/2015/TTLT-BTC-BKHCN</w:t>
      </w:r>
      <w:r w:rsidRPr="000D7514">
        <w:rPr>
          <w:bCs/>
          <w:i/>
          <w:iCs/>
          <w:lang w:val="vi-VN"/>
        </w:rPr>
        <w:t>.</w:t>
      </w:r>
    </w:p>
    <w:p w14:paraId="27C836DA" w14:textId="4B95E54A" w:rsidR="00094AE6" w:rsidRPr="000D7514" w:rsidRDefault="00094AE6" w:rsidP="00094AE6">
      <w:pPr>
        <w:spacing w:before="120" w:after="120"/>
        <w:ind w:firstLine="709"/>
        <w:jc w:val="both"/>
        <w:rPr>
          <w:bCs/>
          <w:i/>
          <w:iCs/>
          <w:lang w:val="vi-VN"/>
        </w:rPr>
      </w:pPr>
      <w:r w:rsidRPr="00046E5D">
        <w:rPr>
          <w:bCs/>
          <w:lang w:val="vi-VN"/>
        </w:rPr>
        <w:t xml:space="preserve">c) Cấp huyện: </w:t>
      </w:r>
      <w:r w:rsidR="000D7514" w:rsidRPr="00012A15">
        <w:rPr>
          <w:bCs/>
          <w:i/>
          <w:iCs/>
          <w:lang w:val="vi-VN"/>
        </w:rPr>
        <w:t xml:space="preserve">bằng </w:t>
      </w:r>
      <w:r w:rsidR="000D7514">
        <w:rPr>
          <w:bCs/>
          <w:i/>
          <w:iCs/>
          <w:lang w:val="vi-VN"/>
        </w:rPr>
        <w:t>7</w:t>
      </w:r>
      <w:r w:rsidR="000D7514" w:rsidRPr="00012A15">
        <w:rPr>
          <w:bCs/>
          <w:i/>
          <w:iCs/>
          <w:lang w:val="vi-VN"/>
        </w:rPr>
        <w:t xml:space="preserve">0% </w:t>
      </w:r>
      <w:r w:rsidR="000D7514" w:rsidRPr="000D7514">
        <w:rPr>
          <w:bCs/>
          <w:i/>
          <w:iCs/>
          <w:lang w:val="vi-VN"/>
        </w:rPr>
        <w:t xml:space="preserve">mức chi tối đa theo </w:t>
      </w:r>
      <w:r w:rsidR="000D7514" w:rsidRPr="000D7514">
        <w:rPr>
          <w:i/>
          <w:iCs/>
          <w:color w:val="000000"/>
          <w:lang w:val="nl-NL"/>
        </w:rPr>
        <w:t>Thông tư liên tịch số 55/2015/TTLT-BTC-BKHCN</w:t>
      </w:r>
      <w:r w:rsidRPr="000D7514">
        <w:rPr>
          <w:bCs/>
          <w:i/>
          <w:iCs/>
          <w:lang w:val="vi-VN"/>
        </w:rPr>
        <w:t>.</w:t>
      </w:r>
    </w:p>
    <w:p w14:paraId="46ED19BE" w14:textId="00E403C8" w:rsidR="00094AE6" w:rsidRPr="00012A15" w:rsidRDefault="00094AE6" w:rsidP="00094AE6">
      <w:pPr>
        <w:spacing w:before="120" w:after="120"/>
        <w:ind w:firstLine="709"/>
        <w:jc w:val="both"/>
        <w:rPr>
          <w:bCs/>
        </w:rPr>
      </w:pPr>
      <w:r w:rsidRPr="00012A15">
        <w:rPr>
          <w:bCs/>
        </w:rPr>
        <w:t>5. Chi số hóa tài liệu phục vụ tập huấn, bồi dưỡng trực tuyến</w:t>
      </w:r>
    </w:p>
    <w:p w14:paraId="40D2F343" w14:textId="77777777" w:rsidR="00A009BF" w:rsidRDefault="00A009BF" w:rsidP="000D7514">
      <w:pPr>
        <w:spacing w:before="120" w:after="120"/>
        <w:ind w:firstLine="709"/>
        <w:jc w:val="both"/>
        <w:rPr>
          <w:bCs/>
          <w:lang w:val="vi-VN"/>
        </w:rPr>
      </w:pPr>
      <w:r w:rsidRPr="00046E5D">
        <w:rPr>
          <w:bCs/>
        </w:rPr>
        <w:t>a) Các khoản tiền công</w:t>
      </w:r>
      <w:r>
        <w:rPr>
          <w:bCs/>
          <w:lang w:val="vi-VN"/>
        </w:rPr>
        <w:t>:</w:t>
      </w:r>
    </w:p>
    <w:p w14:paraId="4A429956" w14:textId="4866D3D5" w:rsidR="000D7514" w:rsidRPr="000D7514" w:rsidRDefault="00A009BF" w:rsidP="000D7514">
      <w:pPr>
        <w:spacing w:before="120" w:after="120"/>
        <w:ind w:firstLine="709"/>
        <w:jc w:val="both"/>
        <w:rPr>
          <w:bCs/>
          <w:i/>
          <w:iCs/>
          <w:lang w:val="vi-VN"/>
        </w:rPr>
      </w:pPr>
      <w:r>
        <w:rPr>
          <w:bCs/>
          <w:lang w:val="vi-VN"/>
        </w:rPr>
        <w:t xml:space="preserve">- </w:t>
      </w:r>
      <w:r w:rsidR="000D7514" w:rsidRPr="00046E5D">
        <w:rPr>
          <w:bCs/>
          <w:lang w:val="vi-VN"/>
        </w:rPr>
        <w:t xml:space="preserve">Thuê cơ sở giáo dục đại học: </w:t>
      </w:r>
      <w:r w:rsidR="000D7514" w:rsidRPr="000D7514">
        <w:rPr>
          <w:bCs/>
          <w:i/>
          <w:iCs/>
          <w:lang w:val="vi-VN"/>
        </w:rPr>
        <w:t xml:space="preserve">bằng 100% mức chi tối đa theo </w:t>
      </w:r>
      <w:r w:rsidR="000D7514" w:rsidRPr="000D7514">
        <w:rPr>
          <w:bCs/>
          <w:i/>
          <w:iCs/>
        </w:rPr>
        <w:t>Thông tư số 02/2015/TT-BLĐTBXH</w:t>
      </w:r>
      <w:r w:rsidR="000D7514" w:rsidRPr="000D7514">
        <w:rPr>
          <w:bCs/>
          <w:i/>
          <w:iCs/>
          <w:lang w:val="vi-VN"/>
        </w:rPr>
        <w:t>.</w:t>
      </w:r>
    </w:p>
    <w:p w14:paraId="78016316" w14:textId="77777777" w:rsidR="000D7514" w:rsidRPr="000D7514" w:rsidRDefault="000D7514" w:rsidP="000D7514">
      <w:pPr>
        <w:spacing w:before="120" w:after="120"/>
        <w:ind w:firstLine="709"/>
        <w:jc w:val="both"/>
        <w:rPr>
          <w:bCs/>
          <w:i/>
          <w:iCs/>
          <w:lang w:val="vi-VN"/>
        </w:rPr>
      </w:pPr>
      <w:r>
        <w:rPr>
          <w:bCs/>
          <w:lang w:val="vi-VN"/>
        </w:rPr>
        <w:t>-</w:t>
      </w:r>
      <w:r w:rsidRPr="00046E5D">
        <w:rPr>
          <w:bCs/>
          <w:lang w:val="vi-VN"/>
        </w:rPr>
        <w:t xml:space="preserve"> Cấp tỉnh: </w:t>
      </w:r>
      <w:r w:rsidRPr="000D7514">
        <w:rPr>
          <w:bCs/>
          <w:i/>
          <w:iCs/>
          <w:lang w:val="vi-VN"/>
        </w:rPr>
        <w:t xml:space="preserve">bằng 90% mức chi tối đa theo </w:t>
      </w:r>
      <w:r w:rsidRPr="000D7514">
        <w:rPr>
          <w:bCs/>
          <w:i/>
          <w:iCs/>
        </w:rPr>
        <w:t>Thông tư số 02/2015/TT-BLĐTBXH</w:t>
      </w:r>
      <w:r w:rsidRPr="000D7514">
        <w:rPr>
          <w:bCs/>
          <w:i/>
          <w:iCs/>
          <w:lang w:val="vi-VN"/>
        </w:rPr>
        <w:t>.</w:t>
      </w:r>
    </w:p>
    <w:p w14:paraId="607B6E03" w14:textId="5AE05054" w:rsidR="000D7514" w:rsidRDefault="000D7514" w:rsidP="000D7514">
      <w:pPr>
        <w:spacing w:before="120" w:after="120"/>
        <w:ind w:firstLine="709"/>
        <w:jc w:val="both"/>
        <w:rPr>
          <w:bCs/>
          <w:i/>
          <w:iCs/>
          <w:lang w:val="vi-VN"/>
        </w:rPr>
      </w:pPr>
      <w:r>
        <w:rPr>
          <w:bCs/>
          <w:lang w:val="vi-VN"/>
        </w:rPr>
        <w:t>-</w:t>
      </w:r>
      <w:r w:rsidRPr="00046E5D">
        <w:rPr>
          <w:bCs/>
          <w:lang w:val="vi-VN"/>
        </w:rPr>
        <w:t xml:space="preserve"> Cấp huyện: </w:t>
      </w:r>
      <w:r w:rsidRPr="000D7514">
        <w:rPr>
          <w:bCs/>
          <w:i/>
          <w:iCs/>
          <w:lang w:val="vi-VN"/>
        </w:rPr>
        <w:t xml:space="preserve">bằng 70% mức chi tối đa theo </w:t>
      </w:r>
      <w:r w:rsidRPr="000D7514">
        <w:rPr>
          <w:bCs/>
          <w:i/>
          <w:iCs/>
        </w:rPr>
        <w:t>Thông tư số 02/2015/TT-BLĐTBXH</w:t>
      </w:r>
      <w:r w:rsidRPr="000D7514">
        <w:rPr>
          <w:bCs/>
          <w:i/>
          <w:iCs/>
          <w:lang w:val="vi-VN"/>
        </w:rPr>
        <w:t>.</w:t>
      </w:r>
    </w:p>
    <w:p w14:paraId="6A768B24" w14:textId="79A5B0CA" w:rsidR="00A009BF" w:rsidRDefault="00A009BF" w:rsidP="000D7514">
      <w:pPr>
        <w:spacing w:before="120" w:after="120"/>
        <w:ind w:firstLine="709"/>
        <w:jc w:val="both"/>
        <w:rPr>
          <w:bCs/>
        </w:rPr>
      </w:pPr>
      <w:r w:rsidRPr="00046E5D">
        <w:rPr>
          <w:bCs/>
        </w:rPr>
        <w:t>b) Chi phí quay video bài giảng</w:t>
      </w:r>
    </w:p>
    <w:p w14:paraId="059F2E8F" w14:textId="1667C916" w:rsidR="00A009BF" w:rsidRPr="00A009BF" w:rsidRDefault="00A009BF" w:rsidP="00A009BF">
      <w:pPr>
        <w:spacing w:before="120" w:after="120"/>
        <w:ind w:firstLine="709"/>
        <w:jc w:val="both"/>
        <w:rPr>
          <w:bCs/>
          <w:i/>
          <w:iCs/>
          <w:lang w:val="vi-VN"/>
        </w:rPr>
      </w:pPr>
      <w:r>
        <w:rPr>
          <w:bCs/>
          <w:lang w:val="vi-VN"/>
        </w:rPr>
        <w:t>-</w:t>
      </w:r>
      <w:r w:rsidRPr="00046E5D">
        <w:rPr>
          <w:bCs/>
          <w:lang w:val="vi-VN"/>
        </w:rPr>
        <w:t xml:space="preserve"> Thuê cơ sở giáo dục đại học</w:t>
      </w:r>
      <w:r w:rsidRPr="00A009BF">
        <w:rPr>
          <w:bCs/>
          <w:i/>
          <w:iCs/>
          <w:lang w:val="vi-VN"/>
        </w:rPr>
        <w:t xml:space="preserve">: bằng 100% mức chi theo </w:t>
      </w:r>
      <w:r w:rsidRPr="00A009BF">
        <w:rPr>
          <w:bCs/>
          <w:i/>
          <w:iCs/>
        </w:rPr>
        <w:t>Thông tư số 03/2018/TT-BTTTT</w:t>
      </w:r>
      <w:r w:rsidRPr="00A009BF">
        <w:rPr>
          <w:bCs/>
          <w:i/>
          <w:iCs/>
          <w:lang w:val="vi-VN"/>
        </w:rPr>
        <w:t xml:space="preserve"> – Thông tư </w:t>
      </w:r>
      <w:r w:rsidRPr="00A009BF">
        <w:rPr>
          <w:bCs/>
          <w:i/>
          <w:iCs/>
        </w:rPr>
        <w:t>03/2018/TT-BTTTT</w:t>
      </w:r>
      <w:r w:rsidRPr="00A009BF">
        <w:rPr>
          <w:bCs/>
          <w:i/>
          <w:iCs/>
          <w:lang w:val="vi-VN"/>
        </w:rPr>
        <w:t xml:space="preserve"> có mức chi cụ thể nên áp dụng trức tiếp, không cần quy đổi %)</w:t>
      </w:r>
      <w:r w:rsidRPr="00A009BF">
        <w:rPr>
          <w:bCs/>
          <w:i/>
          <w:iCs/>
          <w:lang w:val="vi-VN"/>
        </w:rPr>
        <w:t>.</w:t>
      </w:r>
    </w:p>
    <w:p w14:paraId="46C9CD16" w14:textId="77777777" w:rsidR="00A009BF" w:rsidRPr="00046E5D" w:rsidRDefault="00A009BF" w:rsidP="00A009BF">
      <w:pPr>
        <w:spacing w:before="120" w:after="120"/>
        <w:ind w:firstLine="709"/>
        <w:jc w:val="both"/>
        <w:rPr>
          <w:bCs/>
          <w:lang w:val="vi-VN"/>
        </w:rPr>
      </w:pPr>
      <w:r>
        <w:rPr>
          <w:bCs/>
          <w:lang w:val="vi-VN"/>
        </w:rPr>
        <w:t>-</w:t>
      </w:r>
      <w:r w:rsidRPr="00046E5D">
        <w:rPr>
          <w:bCs/>
          <w:lang w:val="vi-VN"/>
        </w:rPr>
        <w:t xml:space="preserve"> Cấp tỉnh: </w:t>
      </w:r>
      <w:r w:rsidRPr="00A009BF">
        <w:rPr>
          <w:bCs/>
          <w:i/>
          <w:iCs/>
          <w:lang w:val="vi-VN"/>
        </w:rPr>
        <w:t xml:space="preserve">bằng 90% mức chi theo </w:t>
      </w:r>
      <w:r w:rsidRPr="00A009BF">
        <w:rPr>
          <w:bCs/>
          <w:i/>
          <w:iCs/>
        </w:rPr>
        <w:t>Thông tư số 03/2018/TT-BTTTT</w:t>
      </w:r>
      <w:r w:rsidRPr="00046E5D">
        <w:rPr>
          <w:bCs/>
          <w:lang w:val="vi-VN"/>
        </w:rPr>
        <w:t>.</w:t>
      </w:r>
    </w:p>
    <w:p w14:paraId="46CD941E" w14:textId="77777777" w:rsidR="00A009BF" w:rsidRPr="004F700E" w:rsidRDefault="00A009BF" w:rsidP="00A009BF">
      <w:pPr>
        <w:spacing w:before="120" w:after="120"/>
        <w:ind w:firstLine="709"/>
        <w:jc w:val="both"/>
        <w:rPr>
          <w:bCs/>
          <w:lang w:val="vi-VN"/>
        </w:rPr>
      </w:pPr>
      <w:r>
        <w:rPr>
          <w:bCs/>
          <w:lang w:val="vi-VN"/>
        </w:rPr>
        <w:t>-</w:t>
      </w:r>
      <w:r w:rsidRPr="00046E5D">
        <w:rPr>
          <w:bCs/>
          <w:lang w:val="vi-VN"/>
        </w:rPr>
        <w:t xml:space="preserve"> Cấp huyện: </w:t>
      </w:r>
      <w:r w:rsidRPr="00A009BF">
        <w:rPr>
          <w:bCs/>
          <w:i/>
          <w:iCs/>
          <w:lang w:val="vi-VN"/>
        </w:rPr>
        <w:t xml:space="preserve">bằng 70% mức chi theo </w:t>
      </w:r>
      <w:r w:rsidRPr="00A009BF">
        <w:rPr>
          <w:bCs/>
          <w:i/>
          <w:iCs/>
        </w:rPr>
        <w:t>Thông tư số 03/2018/TT-BTTTT</w:t>
      </w:r>
      <w:r w:rsidRPr="00046E5D">
        <w:rPr>
          <w:bCs/>
          <w:lang w:val="vi-VN"/>
        </w:rPr>
        <w:t>.</w:t>
      </w:r>
    </w:p>
    <w:p w14:paraId="7216D0C4" w14:textId="2F2577E4" w:rsidR="00A009BF" w:rsidRDefault="00A009BF" w:rsidP="00A009BF">
      <w:pPr>
        <w:spacing w:before="120" w:after="120"/>
        <w:ind w:firstLine="709"/>
        <w:jc w:val="both"/>
        <w:rPr>
          <w:bCs/>
          <w:lang w:val="vi-VN"/>
        </w:rPr>
      </w:pPr>
      <w:r w:rsidRPr="00046E5D">
        <w:rPr>
          <w:bCs/>
        </w:rPr>
        <w:t>c) Chi biên tập video</w:t>
      </w:r>
    </w:p>
    <w:p w14:paraId="7053F03A" w14:textId="77777777" w:rsidR="00A009BF" w:rsidRPr="00A009BF" w:rsidRDefault="00A009BF" w:rsidP="00A009BF">
      <w:pPr>
        <w:spacing w:before="120" w:after="120"/>
        <w:ind w:firstLine="709"/>
        <w:jc w:val="both"/>
        <w:rPr>
          <w:bCs/>
          <w:i/>
          <w:iCs/>
          <w:lang w:val="vi-VN"/>
        </w:rPr>
      </w:pPr>
      <w:r>
        <w:rPr>
          <w:bCs/>
          <w:lang w:val="vi-VN"/>
        </w:rPr>
        <w:t>-</w:t>
      </w:r>
      <w:r w:rsidRPr="00046E5D">
        <w:rPr>
          <w:bCs/>
          <w:lang w:val="vi-VN"/>
        </w:rPr>
        <w:t xml:space="preserve"> Thuê cơ sở giáo dục đại học: </w:t>
      </w:r>
      <w:r w:rsidRPr="00A009BF">
        <w:rPr>
          <w:bCs/>
          <w:i/>
          <w:iCs/>
          <w:lang w:val="vi-VN"/>
        </w:rPr>
        <w:t xml:space="preserve">bằng 100% mức chi theo </w:t>
      </w:r>
      <w:r w:rsidRPr="00A009BF">
        <w:rPr>
          <w:bCs/>
          <w:i/>
          <w:iCs/>
        </w:rPr>
        <w:t>Thông tư số 03/2018/TT-BTTTT</w:t>
      </w:r>
      <w:r w:rsidRPr="00A009BF">
        <w:rPr>
          <w:bCs/>
          <w:i/>
          <w:iCs/>
          <w:lang w:val="vi-VN"/>
        </w:rPr>
        <w:t>.</w:t>
      </w:r>
    </w:p>
    <w:p w14:paraId="5F33D92E" w14:textId="77777777" w:rsidR="00A009BF" w:rsidRPr="00046E5D" w:rsidRDefault="00A009BF" w:rsidP="00A009BF">
      <w:pPr>
        <w:spacing w:before="120" w:after="120"/>
        <w:ind w:firstLine="709"/>
        <w:jc w:val="both"/>
        <w:rPr>
          <w:bCs/>
          <w:lang w:val="vi-VN"/>
        </w:rPr>
      </w:pPr>
      <w:r>
        <w:rPr>
          <w:bCs/>
          <w:lang w:val="vi-VN"/>
        </w:rPr>
        <w:t>-</w:t>
      </w:r>
      <w:r w:rsidRPr="00046E5D">
        <w:rPr>
          <w:bCs/>
          <w:lang w:val="vi-VN"/>
        </w:rPr>
        <w:t xml:space="preserve"> Cấp tỉnh: </w:t>
      </w:r>
      <w:r w:rsidRPr="00A009BF">
        <w:rPr>
          <w:bCs/>
          <w:i/>
          <w:iCs/>
          <w:lang w:val="vi-VN"/>
        </w:rPr>
        <w:t xml:space="preserve">bằng 90% mức chi theo </w:t>
      </w:r>
      <w:r w:rsidRPr="00A009BF">
        <w:rPr>
          <w:bCs/>
          <w:i/>
          <w:iCs/>
        </w:rPr>
        <w:t>Thông tư số 03/2018/TT-BTTTT</w:t>
      </w:r>
      <w:r w:rsidRPr="00046E5D">
        <w:rPr>
          <w:bCs/>
          <w:lang w:val="vi-VN"/>
        </w:rPr>
        <w:t>.</w:t>
      </w:r>
    </w:p>
    <w:p w14:paraId="647C2CF7" w14:textId="4B7524FE" w:rsidR="00A009BF" w:rsidRPr="00A009BF" w:rsidRDefault="00A009BF" w:rsidP="00A009BF">
      <w:pPr>
        <w:spacing w:before="120" w:after="120"/>
        <w:ind w:firstLine="709"/>
        <w:jc w:val="both"/>
        <w:rPr>
          <w:bCs/>
          <w:lang w:val="vi-VN"/>
        </w:rPr>
      </w:pPr>
      <w:r>
        <w:rPr>
          <w:bCs/>
          <w:lang w:val="vi-VN"/>
        </w:rPr>
        <w:t>-</w:t>
      </w:r>
      <w:r w:rsidRPr="00046E5D">
        <w:rPr>
          <w:bCs/>
          <w:lang w:val="vi-VN"/>
        </w:rPr>
        <w:t xml:space="preserve"> Cấp huyện: </w:t>
      </w:r>
      <w:r w:rsidRPr="00A009BF">
        <w:rPr>
          <w:bCs/>
          <w:i/>
          <w:iCs/>
          <w:lang w:val="vi-VN"/>
        </w:rPr>
        <w:t xml:space="preserve">bằng 70% mức chi theo </w:t>
      </w:r>
      <w:r w:rsidRPr="00A009BF">
        <w:rPr>
          <w:bCs/>
          <w:i/>
          <w:iCs/>
        </w:rPr>
        <w:t>Thông tư số 03/2018/TT-BTTTT</w:t>
      </w:r>
      <w:r w:rsidRPr="00046E5D">
        <w:rPr>
          <w:bCs/>
          <w:lang w:val="vi-VN"/>
        </w:rPr>
        <w:t>.</w:t>
      </w:r>
    </w:p>
    <w:p w14:paraId="0712B120" w14:textId="508A30B5" w:rsidR="00094AE6" w:rsidRPr="000E2117" w:rsidRDefault="00094AE6" w:rsidP="00094AE6">
      <w:pPr>
        <w:spacing w:before="120" w:after="120"/>
        <w:ind w:firstLine="709"/>
        <w:jc w:val="both"/>
        <w:rPr>
          <w:bCs/>
        </w:rPr>
      </w:pPr>
      <w:r w:rsidRPr="000E2117">
        <w:rPr>
          <w:bCs/>
        </w:rPr>
        <w:t>6. Chi tiền công giảng viên, trợ giảng, báo cáo viên</w:t>
      </w:r>
    </w:p>
    <w:p w14:paraId="736BE9EF" w14:textId="05FC7DB1" w:rsidR="00094AE6" w:rsidRPr="00012A15" w:rsidRDefault="00094AE6" w:rsidP="00094AE6">
      <w:pPr>
        <w:spacing w:before="120" w:after="120"/>
        <w:ind w:firstLine="709"/>
        <w:jc w:val="both"/>
        <w:rPr>
          <w:bCs/>
          <w:i/>
          <w:iCs/>
          <w:lang w:val="vi-VN"/>
        </w:rPr>
      </w:pPr>
      <w:r w:rsidRPr="000E2117">
        <w:rPr>
          <w:bCs/>
          <w:lang w:val="vi-VN"/>
        </w:rPr>
        <w:t>a) Thuê giảng viên cơ sở giáo dục đại học:</w:t>
      </w:r>
      <w:r>
        <w:rPr>
          <w:bCs/>
          <w:lang w:val="vi-VN"/>
        </w:rPr>
        <w:t xml:space="preserve"> 500.000 đồng</w:t>
      </w:r>
      <w:r w:rsidRPr="000E2117">
        <w:rPr>
          <w:bCs/>
        </w:rPr>
        <w:t>/tiết</w:t>
      </w:r>
      <w:r>
        <w:rPr>
          <w:bCs/>
          <w:lang w:val="vi-VN"/>
        </w:rPr>
        <w:t xml:space="preserve"> </w:t>
      </w:r>
      <w:r w:rsidRPr="00012A15">
        <w:rPr>
          <w:bCs/>
          <w:i/>
          <w:iCs/>
          <w:lang w:val="vi-VN"/>
        </w:rPr>
        <w:t>(</w:t>
      </w:r>
      <w:r w:rsidR="007B7002" w:rsidRPr="00012A15">
        <w:rPr>
          <w:bCs/>
          <w:i/>
          <w:iCs/>
          <w:lang w:val="vi-VN"/>
        </w:rPr>
        <w:t>100% mức chi</w:t>
      </w:r>
      <w:r w:rsidR="00BD5998" w:rsidRPr="00012A15">
        <w:rPr>
          <w:bCs/>
          <w:i/>
          <w:iCs/>
          <w:lang w:val="vi-VN"/>
        </w:rPr>
        <w:t xml:space="preserve"> </w:t>
      </w:r>
      <w:r w:rsidR="00A009BF">
        <w:rPr>
          <w:bCs/>
          <w:i/>
          <w:iCs/>
          <w:lang w:val="vi-VN"/>
        </w:rPr>
        <w:t xml:space="preserve">tối đa </w:t>
      </w:r>
      <w:r w:rsidR="00BD5998" w:rsidRPr="00012A15">
        <w:rPr>
          <w:bCs/>
          <w:i/>
          <w:iCs/>
          <w:lang w:val="vi-VN"/>
        </w:rPr>
        <w:t xml:space="preserve">theo </w:t>
      </w:r>
      <w:r w:rsidR="00BD5998" w:rsidRPr="00012A15">
        <w:rPr>
          <w:i/>
          <w:iCs/>
        </w:rPr>
        <w:t>Thông tư số 83/2021/TT-BTC</w:t>
      </w:r>
      <w:r w:rsidR="00BD5998" w:rsidRPr="00012A15">
        <w:rPr>
          <w:i/>
          <w:iCs/>
          <w:lang w:val="vi-VN"/>
        </w:rPr>
        <w:t>)</w:t>
      </w:r>
      <w:r w:rsidR="00012A15">
        <w:rPr>
          <w:i/>
          <w:iCs/>
          <w:lang w:val="vi-VN"/>
        </w:rPr>
        <w:t>.</w:t>
      </w:r>
    </w:p>
    <w:p w14:paraId="0DFA5D9A" w14:textId="2D75E1ED" w:rsidR="00094AE6" w:rsidRPr="00BD5998" w:rsidRDefault="00094AE6" w:rsidP="00094AE6">
      <w:pPr>
        <w:spacing w:before="120" w:after="120"/>
        <w:ind w:firstLine="709"/>
        <w:jc w:val="both"/>
        <w:rPr>
          <w:bCs/>
          <w:lang w:val="vi-VN"/>
        </w:rPr>
      </w:pPr>
      <w:r w:rsidRPr="000E2117">
        <w:rPr>
          <w:bCs/>
          <w:lang w:val="vi-VN"/>
        </w:rPr>
        <w:lastRenderedPageBreak/>
        <w:t>b) Cấp tỉnh:</w:t>
      </w:r>
      <w:r>
        <w:rPr>
          <w:bCs/>
          <w:lang w:val="vi-VN"/>
        </w:rPr>
        <w:t xml:space="preserve"> 250.000 đồng</w:t>
      </w:r>
      <w:r w:rsidRPr="000E2117">
        <w:rPr>
          <w:bCs/>
        </w:rPr>
        <w:t>/tiết</w:t>
      </w:r>
      <w:r w:rsidR="00BD5998">
        <w:rPr>
          <w:bCs/>
          <w:lang w:val="vi-VN"/>
        </w:rPr>
        <w:t xml:space="preserve"> </w:t>
      </w:r>
      <w:r w:rsidR="00BD5998">
        <w:rPr>
          <w:lang w:val="vi-VN"/>
        </w:rPr>
        <w:t>(</w:t>
      </w:r>
      <w:r w:rsidR="00BD5998" w:rsidRPr="00012A15">
        <w:rPr>
          <w:i/>
          <w:iCs/>
          <w:lang w:val="vi-VN"/>
        </w:rPr>
        <w:t>bằng định mức ý d, mục 1</w:t>
      </w:r>
      <w:r w:rsidR="00442898">
        <w:rPr>
          <w:i/>
          <w:iCs/>
          <w:lang w:val="vi-VN"/>
        </w:rPr>
        <w:t xml:space="preserve"> </w:t>
      </w:r>
      <w:r w:rsidR="00BD5998" w:rsidRPr="00012A15">
        <w:rPr>
          <w:i/>
          <w:iCs/>
          <w:lang w:val="vi-VN"/>
        </w:rPr>
        <w:t>Công văn số 3739/UBND-NC ngày 12/12/2019 của UBND tỉnh về việc hướng dẫn định mức chi các lớp bồi dưỡng CB, CC, VC trên địa bàn tỉnh</w:t>
      </w:r>
      <w:r w:rsidR="00BD5998">
        <w:rPr>
          <w:lang w:val="vi-VN"/>
        </w:rPr>
        <w:t>)</w:t>
      </w:r>
      <w:r w:rsidR="00012A15">
        <w:rPr>
          <w:lang w:val="vi-VN"/>
        </w:rPr>
        <w:t>.</w:t>
      </w:r>
    </w:p>
    <w:p w14:paraId="7FBBD83C" w14:textId="276DB7ED" w:rsidR="00BD5998" w:rsidRPr="00BD5998" w:rsidRDefault="00094AE6" w:rsidP="00BD5998">
      <w:pPr>
        <w:spacing w:before="120" w:after="120"/>
        <w:ind w:firstLine="709"/>
        <w:jc w:val="both"/>
        <w:rPr>
          <w:bCs/>
          <w:lang w:val="vi-VN"/>
        </w:rPr>
      </w:pPr>
      <w:r w:rsidRPr="00046E5D">
        <w:rPr>
          <w:bCs/>
          <w:lang w:val="vi-VN"/>
        </w:rPr>
        <w:t>c) Cấp huyện:</w:t>
      </w:r>
      <w:r>
        <w:rPr>
          <w:bCs/>
          <w:lang w:val="vi-VN"/>
        </w:rPr>
        <w:t xml:space="preserve"> 200.000 đồng</w:t>
      </w:r>
      <w:r w:rsidRPr="000E2117">
        <w:rPr>
          <w:bCs/>
        </w:rPr>
        <w:t>/tiết</w:t>
      </w:r>
      <w:r w:rsidR="00BD5998">
        <w:rPr>
          <w:bCs/>
          <w:lang w:val="vi-VN"/>
        </w:rPr>
        <w:t xml:space="preserve"> </w:t>
      </w:r>
      <w:r w:rsidR="00BD5998">
        <w:rPr>
          <w:lang w:val="vi-VN"/>
        </w:rPr>
        <w:t>(</w:t>
      </w:r>
      <w:r w:rsidR="00BD5998" w:rsidRPr="00012A15">
        <w:rPr>
          <w:i/>
          <w:iCs/>
          <w:lang w:val="vi-VN"/>
        </w:rPr>
        <w:t>bằng định mức ý đ, mục 1</w:t>
      </w:r>
      <w:r w:rsidR="00442898">
        <w:rPr>
          <w:i/>
          <w:iCs/>
          <w:lang w:val="vi-VN"/>
        </w:rPr>
        <w:t xml:space="preserve"> </w:t>
      </w:r>
      <w:r w:rsidR="00BD5998" w:rsidRPr="00012A15">
        <w:rPr>
          <w:i/>
          <w:iCs/>
          <w:lang w:val="vi-VN"/>
        </w:rPr>
        <w:t>Công văn số 3739/UBND-NC ngày 12/12/2019</w:t>
      </w:r>
      <w:r w:rsidR="00BD5998">
        <w:rPr>
          <w:lang w:val="vi-VN"/>
        </w:rPr>
        <w:t>)</w:t>
      </w:r>
      <w:r w:rsidR="00012A15">
        <w:rPr>
          <w:lang w:val="vi-VN"/>
        </w:rPr>
        <w:t>.</w:t>
      </w:r>
    </w:p>
    <w:p w14:paraId="1F244987" w14:textId="77777777" w:rsidR="00094AE6" w:rsidRPr="00046E5D" w:rsidRDefault="00094AE6" w:rsidP="00094AE6">
      <w:pPr>
        <w:spacing w:before="120" w:after="120"/>
        <w:ind w:firstLine="709"/>
        <w:jc w:val="both"/>
        <w:rPr>
          <w:bCs/>
        </w:rPr>
      </w:pPr>
      <w:r w:rsidRPr="00046E5D">
        <w:rPr>
          <w:bCs/>
        </w:rPr>
        <w:t>7. Phụ cấp tiền ăn cho giảng viên, trợ giảng, báo cáo viên</w:t>
      </w:r>
    </w:p>
    <w:p w14:paraId="1114E13A" w14:textId="0D31A22B" w:rsidR="00094AE6" w:rsidRPr="007B7002" w:rsidRDefault="00094AE6" w:rsidP="00094AE6">
      <w:pPr>
        <w:spacing w:before="120" w:after="120"/>
        <w:ind w:firstLine="709"/>
        <w:jc w:val="both"/>
        <w:rPr>
          <w:bCs/>
          <w:lang w:val="vi-VN"/>
        </w:rPr>
      </w:pPr>
      <w:r w:rsidRPr="00046E5D">
        <w:rPr>
          <w:bCs/>
          <w:lang w:val="vi-VN"/>
        </w:rPr>
        <w:t xml:space="preserve">a) </w:t>
      </w:r>
      <w:r w:rsidRPr="00046E5D">
        <w:rPr>
          <w:bCs/>
        </w:rPr>
        <w:t>Các</w:t>
      </w:r>
      <w:r w:rsidRPr="00046E5D">
        <w:rPr>
          <w:bCs/>
          <w:lang w:val="vi-VN"/>
        </w:rPr>
        <w:t xml:space="preserve"> lớp tập huấn, bồi dưỡng tại thị xã, thành phố: 150.000 đồng/1 ngày/1 người</w:t>
      </w:r>
      <w:r w:rsidR="00BD5998">
        <w:rPr>
          <w:bCs/>
          <w:lang w:val="vi-VN"/>
        </w:rPr>
        <w:t xml:space="preserve"> (</w:t>
      </w:r>
      <w:r w:rsidR="00012A15" w:rsidRPr="00012A15">
        <w:rPr>
          <w:bCs/>
          <w:i/>
          <w:iCs/>
          <w:lang w:val="vi-VN"/>
        </w:rPr>
        <w:t>đề xuất chi theo</w:t>
      </w:r>
      <w:r w:rsidR="00012A15">
        <w:rPr>
          <w:bCs/>
          <w:lang w:val="vi-VN"/>
        </w:rPr>
        <w:t xml:space="preserve"> </w:t>
      </w:r>
      <w:r w:rsidR="00BD5998" w:rsidRPr="00012A15">
        <w:rPr>
          <w:bCs/>
          <w:i/>
          <w:iCs/>
          <w:lang w:val="vi-VN"/>
        </w:rPr>
        <w:t xml:space="preserve">điểm </w:t>
      </w:r>
      <w:r w:rsidR="007B7002" w:rsidRPr="00012A15">
        <w:rPr>
          <w:bCs/>
          <w:i/>
          <w:iCs/>
          <w:lang w:val="vi-VN"/>
        </w:rPr>
        <w:t xml:space="preserve">a </w:t>
      </w:r>
      <w:r w:rsidR="00442898">
        <w:rPr>
          <w:bCs/>
          <w:i/>
          <w:iCs/>
          <w:lang w:val="vi-VN"/>
        </w:rPr>
        <w:t>k</w:t>
      </w:r>
      <w:r w:rsidR="007B7002" w:rsidRPr="00012A15">
        <w:rPr>
          <w:bCs/>
          <w:i/>
          <w:iCs/>
          <w:lang w:val="vi-VN"/>
        </w:rPr>
        <w:t xml:space="preserve">hoản 4 </w:t>
      </w:r>
      <w:r w:rsidR="00442898">
        <w:rPr>
          <w:bCs/>
          <w:i/>
          <w:iCs/>
          <w:lang w:val="vi-VN"/>
        </w:rPr>
        <w:t xml:space="preserve">Điều 9 </w:t>
      </w:r>
      <w:r w:rsidR="007B7002" w:rsidRPr="00012A15">
        <w:rPr>
          <w:bCs/>
          <w:i/>
          <w:iCs/>
        </w:rPr>
        <w:t>Nghị quyết số 53/2017/NQ-HĐND</w:t>
      </w:r>
      <w:r w:rsidR="007B7002">
        <w:rPr>
          <w:bCs/>
          <w:lang w:val="vi-VN"/>
        </w:rPr>
        <w:t>)</w:t>
      </w:r>
    </w:p>
    <w:p w14:paraId="6911395F" w14:textId="0905C6F6" w:rsidR="00094AE6" w:rsidRPr="00046E5D" w:rsidRDefault="00094AE6" w:rsidP="00442898">
      <w:pPr>
        <w:spacing w:before="120" w:after="120"/>
        <w:ind w:firstLine="709"/>
        <w:jc w:val="both"/>
        <w:rPr>
          <w:bCs/>
          <w:lang w:val="vi-VN"/>
        </w:rPr>
      </w:pPr>
      <w:r w:rsidRPr="00046E5D">
        <w:rPr>
          <w:bCs/>
          <w:lang w:val="vi-VN"/>
        </w:rPr>
        <w:t xml:space="preserve">b) </w:t>
      </w:r>
      <w:r w:rsidRPr="00046E5D">
        <w:rPr>
          <w:bCs/>
        </w:rPr>
        <w:t>Các</w:t>
      </w:r>
      <w:r w:rsidRPr="00046E5D">
        <w:rPr>
          <w:bCs/>
          <w:lang w:val="vi-VN"/>
        </w:rPr>
        <w:t xml:space="preserve"> lớp tập huấn, bồi dưỡng tại các huyện: 130.000 đồng/1 ngày/1 người</w:t>
      </w:r>
      <w:r w:rsidR="007B7002">
        <w:rPr>
          <w:bCs/>
          <w:lang w:val="vi-VN"/>
        </w:rPr>
        <w:t xml:space="preserve"> </w:t>
      </w:r>
      <w:r w:rsidR="00442898">
        <w:rPr>
          <w:bCs/>
          <w:lang w:val="vi-VN"/>
        </w:rPr>
        <w:t>(</w:t>
      </w:r>
      <w:r w:rsidR="00442898" w:rsidRPr="00012A15">
        <w:rPr>
          <w:bCs/>
          <w:i/>
          <w:iCs/>
          <w:lang w:val="vi-VN"/>
        </w:rPr>
        <w:t>đề xuất chi theo</w:t>
      </w:r>
      <w:r w:rsidR="00442898">
        <w:rPr>
          <w:bCs/>
          <w:lang w:val="vi-VN"/>
        </w:rPr>
        <w:t xml:space="preserve"> </w:t>
      </w:r>
      <w:r w:rsidR="00442898" w:rsidRPr="00012A15">
        <w:rPr>
          <w:bCs/>
          <w:i/>
          <w:iCs/>
          <w:lang w:val="vi-VN"/>
        </w:rPr>
        <w:t xml:space="preserve">điểm </w:t>
      </w:r>
      <w:r w:rsidR="00442898">
        <w:rPr>
          <w:bCs/>
          <w:i/>
          <w:iCs/>
          <w:lang w:val="vi-VN"/>
        </w:rPr>
        <w:t>b</w:t>
      </w:r>
      <w:r w:rsidR="00442898" w:rsidRPr="00012A15">
        <w:rPr>
          <w:bCs/>
          <w:i/>
          <w:iCs/>
          <w:lang w:val="vi-VN"/>
        </w:rPr>
        <w:t xml:space="preserve"> </w:t>
      </w:r>
      <w:r w:rsidR="00442898">
        <w:rPr>
          <w:bCs/>
          <w:i/>
          <w:iCs/>
          <w:lang w:val="vi-VN"/>
        </w:rPr>
        <w:t>k</w:t>
      </w:r>
      <w:r w:rsidR="00442898" w:rsidRPr="00012A15">
        <w:rPr>
          <w:bCs/>
          <w:i/>
          <w:iCs/>
          <w:lang w:val="vi-VN"/>
        </w:rPr>
        <w:t xml:space="preserve">hoản 4 </w:t>
      </w:r>
      <w:r w:rsidR="00442898">
        <w:rPr>
          <w:bCs/>
          <w:i/>
          <w:iCs/>
          <w:lang w:val="vi-VN"/>
        </w:rPr>
        <w:t xml:space="preserve">Điều 9 </w:t>
      </w:r>
      <w:r w:rsidR="00442898" w:rsidRPr="00012A15">
        <w:rPr>
          <w:bCs/>
          <w:i/>
          <w:iCs/>
        </w:rPr>
        <w:t>Nghị quyết số 53/2017/NQ-HĐND</w:t>
      </w:r>
      <w:r w:rsidR="00442898">
        <w:rPr>
          <w:bCs/>
          <w:lang w:val="vi-VN"/>
        </w:rPr>
        <w:t>).</w:t>
      </w:r>
    </w:p>
    <w:p w14:paraId="54D2E068" w14:textId="771AD14C" w:rsidR="00094AE6" w:rsidRPr="00012A15" w:rsidRDefault="00094AE6" w:rsidP="00094AE6">
      <w:pPr>
        <w:spacing w:before="120" w:after="120"/>
        <w:ind w:firstLine="709"/>
        <w:jc w:val="both"/>
        <w:rPr>
          <w:bCs/>
          <w:i/>
          <w:iCs/>
        </w:rPr>
      </w:pPr>
      <w:r w:rsidRPr="00046E5D">
        <w:rPr>
          <w:bCs/>
        </w:rPr>
        <w:t xml:space="preserve">8. Chi phí thanh toán tiền phương tiện đi lại, tiền thuê phòng nghỉ cho giảng viên, trợ giảng, báo cáo viên: </w:t>
      </w:r>
      <w:r w:rsidRPr="00012A15">
        <w:rPr>
          <w:bCs/>
          <w:i/>
          <w:iCs/>
        </w:rPr>
        <w:t xml:space="preserve">chi theo mức chi quy định hiện hành tại Nghị quyết số 53/2017/NQ-HĐND. </w:t>
      </w:r>
    </w:p>
    <w:p w14:paraId="38F7C907" w14:textId="77777777" w:rsidR="00094AE6" w:rsidRPr="00046E5D" w:rsidRDefault="00094AE6" w:rsidP="00094AE6">
      <w:pPr>
        <w:spacing w:before="120" w:after="120"/>
        <w:ind w:firstLine="709"/>
        <w:jc w:val="both"/>
        <w:rPr>
          <w:bCs/>
        </w:rPr>
      </w:pPr>
      <w:r w:rsidRPr="00046E5D">
        <w:rPr>
          <w:bCs/>
        </w:rPr>
        <w:t xml:space="preserve">9. Chi thuê biên dịch, phiên dịch </w:t>
      </w:r>
    </w:p>
    <w:p w14:paraId="14E7E3D1" w14:textId="44ED258E" w:rsidR="00094AE6" w:rsidRPr="007B7002" w:rsidRDefault="00094AE6" w:rsidP="00094AE6">
      <w:pPr>
        <w:spacing w:before="120" w:after="120"/>
        <w:ind w:firstLine="709"/>
        <w:jc w:val="both"/>
        <w:rPr>
          <w:bCs/>
          <w:lang w:val="vi-VN"/>
        </w:rPr>
      </w:pPr>
      <w:r w:rsidRPr="00012A15">
        <w:rPr>
          <w:bCs/>
          <w:i/>
          <w:iCs/>
        </w:rPr>
        <w:t xml:space="preserve">Thực hiện </w:t>
      </w:r>
      <w:r w:rsidR="007B7002" w:rsidRPr="00012A15">
        <w:rPr>
          <w:bCs/>
          <w:i/>
          <w:iCs/>
          <w:lang w:val="vi-VN"/>
        </w:rPr>
        <w:t xml:space="preserve">100% </w:t>
      </w:r>
      <w:r w:rsidRPr="00012A15">
        <w:rPr>
          <w:bCs/>
          <w:i/>
          <w:iCs/>
        </w:rPr>
        <w:t>mức chi dịch thuật hiện hành</w:t>
      </w:r>
      <w:r w:rsidRPr="00046E5D">
        <w:rPr>
          <w:bCs/>
        </w:rPr>
        <w:t xml:space="preserve"> quy định tại Thông tư số 71/2018/TT-BTC ngày 10 tháng 8 năm 2018 của Bộ Tài chính quy định chế độ chi tiêu đón tiếp khách nước ngoài vào làm việc tại Việt Nam, chế độ chi tổ chức hội nghị, hội thảo quốc tế tại Việt Nam và chế độ tiếp khách trong nước. </w:t>
      </w:r>
    </w:p>
    <w:p w14:paraId="1F1B8D56" w14:textId="77777777" w:rsidR="00094AE6" w:rsidRPr="00046E5D" w:rsidRDefault="00094AE6" w:rsidP="00094AE6">
      <w:pPr>
        <w:spacing w:before="120" w:after="120"/>
        <w:ind w:firstLine="709"/>
        <w:jc w:val="both"/>
        <w:rPr>
          <w:bCs/>
        </w:rPr>
      </w:pPr>
      <w:r w:rsidRPr="00046E5D">
        <w:rPr>
          <w:bCs/>
        </w:rPr>
        <w:t xml:space="preserve">10. Chi nước uống phục vụ lớp học: </w:t>
      </w:r>
    </w:p>
    <w:p w14:paraId="65777886" w14:textId="77777777" w:rsidR="00B20484" w:rsidRPr="00B20484" w:rsidRDefault="00B20484" w:rsidP="00B20484">
      <w:pPr>
        <w:spacing w:before="120" w:after="120"/>
        <w:ind w:firstLine="709"/>
        <w:jc w:val="both"/>
        <w:rPr>
          <w:bCs/>
          <w:i/>
          <w:iCs/>
        </w:rPr>
      </w:pPr>
      <w:r w:rsidRPr="00B20484">
        <w:rPr>
          <w:bCs/>
          <w:i/>
          <w:iCs/>
        </w:rPr>
        <w:t>Áp dụng mức chi nước uống tổ chức các cuộc hội nghị theo quy định tại khoản</w:t>
      </w:r>
      <w:r w:rsidRPr="00B20484">
        <w:rPr>
          <w:bCs/>
          <w:i/>
          <w:iCs/>
          <w:lang w:val="vi-VN"/>
        </w:rPr>
        <w:t xml:space="preserve"> 3 Điều 9 </w:t>
      </w:r>
      <w:r w:rsidRPr="00B20484">
        <w:rPr>
          <w:bCs/>
          <w:i/>
          <w:iCs/>
        </w:rPr>
        <w:t>Nghị quyết số 53/2017/NQ-HĐND là 15.000 đồng/01 buổi (nửa ngày</w:t>
      </w:r>
      <w:r w:rsidRPr="00B20484">
        <w:rPr>
          <w:bCs/>
          <w:i/>
          <w:iCs/>
          <w:lang w:val="vi-VN"/>
        </w:rPr>
        <w:t>)</w:t>
      </w:r>
      <w:r w:rsidRPr="00B20484">
        <w:rPr>
          <w:bCs/>
          <w:i/>
          <w:iCs/>
        </w:rPr>
        <w:t>/1 người.</w:t>
      </w:r>
    </w:p>
    <w:p w14:paraId="3B43C009" w14:textId="77777777" w:rsidR="00094AE6" w:rsidRPr="00046E5D" w:rsidRDefault="00094AE6" w:rsidP="00094AE6">
      <w:pPr>
        <w:spacing w:before="120" w:after="120"/>
        <w:ind w:firstLine="709"/>
        <w:jc w:val="both"/>
        <w:rPr>
          <w:bCs/>
        </w:rPr>
      </w:pPr>
      <w:r w:rsidRPr="00046E5D">
        <w:rPr>
          <w:bCs/>
        </w:rPr>
        <w:t xml:space="preserve">11. Chi ra đề thi, coi thi, chấm thi </w:t>
      </w:r>
    </w:p>
    <w:p w14:paraId="1B3916A6" w14:textId="77777777" w:rsidR="00CA0037" w:rsidRPr="00663CCD" w:rsidRDefault="00CA0037" w:rsidP="00CA0037">
      <w:pPr>
        <w:spacing w:before="120" w:after="120"/>
        <w:ind w:firstLine="709"/>
        <w:jc w:val="both"/>
        <w:rPr>
          <w:bCs/>
        </w:rPr>
      </w:pPr>
      <w:r w:rsidRPr="00663CCD">
        <w:rPr>
          <w:bCs/>
        </w:rPr>
        <w:t>Áp dụng mức chi ra đề thi, coi thi, chấm thi tốt nghiệp trung học phổ thông</w:t>
      </w:r>
      <w:r>
        <w:rPr>
          <w:bCs/>
          <w:lang w:val="vi-VN"/>
        </w:rPr>
        <w:t xml:space="preserve"> </w:t>
      </w:r>
      <w:r w:rsidRPr="00CA0037">
        <w:rPr>
          <w:bCs/>
          <w:i/>
          <w:iCs/>
          <w:lang w:val="vi-VN"/>
        </w:rPr>
        <w:t>theo văn bản của địa phương</w:t>
      </w:r>
      <w:r w:rsidRPr="00CA0037">
        <w:rPr>
          <w:bCs/>
          <w:i/>
          <w:iCs/>
        </w:rPr>
        <w:t xml:space="preserve"> thực</w:t>
      </w:r>
      <w:r w:rsidRPr="00CA0037">
        <w:rPr>
          <w:bCs/>
          <w:i/>
          <w:iCs/>
          <w:lang w:val="vi-VN"/>
        </w:rPr>
        <w:t xml:space="preserve"> hiện</w:t>
      </w:r>
      <w:r w:rsidRPr="00CA0037">
        <w:rPr>
          <w:bCs/>
          <w:i/>
          <w:iCs/>
        </w:rPr>
        <w:t xml:space="preserve"> Thông tư số 69/2021/TT-BTC</w:t>
      </w:r>
      <w:r w:rsidRPr="00663CCD">
        <w:rPr>
          <w:bCs/>
        </w:rPr>
        <w:t xml:space="preserve"> ngày 11 tháng 8 năm 2021 của Bộ Tài chính hướng dẫn quản lý kinh phí chuẩn bị, tổ chức và tham dự các kỳ thi áp dụng đối với giáo dục phổ thông.</w:t>
      </w:r>
    </w:p>
    <w:p w14:paraId="66B93F1B" w14:textId="0D3D9621" w:rsidR="00094AE6" w:rsidRPr="00046E5D" w:rsidRDefault="00094AE6" w:rsidP="00094AE6">
      <w:pPr>
        <w:spacing w:before="120" w:after="120"/>
        <w:ind w:firstLine="709"/>
        <w:jc w:val="both"/>
        <w:rPr>
          <w:bCs/>
        </w:rPr>
      </w:pPr>
      <w:r w:rsidRPr="00046E5D">
        <w:rPr>
          <w:bCs/>
        </w:rPr>
        <w:t>12. Chi khen thưởng cho học viên đạt loại giỏi, loại xuất sắc</w:t>
      </w:r>
    </w:p>
    <w:p w14:paraId="6BB6D169" w14:textId="77777777" w:rsidR="00094AE6" w:rsidRPr="003E5E28" w:rsidRDefault="00094AE6" w:rsidP="00094AE6">
      <w:pPr>
        <w:spacing w:before="120" w:after="120"/>
        <w:ind w:firstLine="709"/>
        <w:jc w:val="both"/>
        <w:rPr>
          <w:bCs/>
        </w:rPr>
      </w:pPr>
      <w:r w:rsidRPr="00046E5D">
        <w:rPr>
          <w:bCs/>
        </w:rPr>
        <w:t>Căn cứ khả năng nguồn kinh phí, căn cứ số lượng học viên đạt loại giỏi, loại xuất sắc của từng lớp tập huấn, bồi dưỡng, cơ sở tổ chức tập huấn, bồi dưỡng được quyết định chi khen thưởng cho học viên đạt loại giỏi, loại xuất sắc theo định</w:t>
      </w:r>
      <w:r w:rsidRPr="003E5E28">
        <w:rPr>
          <w:bCs/>
        </w:rPr>
        <w:t xml:space="preserve"> mức:</w:t>
      </w:r>
    </w:p>
    <w:p w14:paraId="5F8CAAD8" w14:textId="20D2C1B3" w:rsidR="00094AE6" w:rsidRPr="003E5E28" w:rsidRDefault="00094AE6" w:rsidP="00094AE6">
      <w:pPr>
        <w:spacing w:before="120" w:after="120"/>
        <w:ind w:firstLine="709"/>
        <w:jc w:val="both"/>
        <w:rPr>
          <w:bCs/>
        </w:rPr>
      </w:pPr>
      <w:r w:rsidRPr="003E5E28">
        <w:rPr>
          <w:bCs/>
        </w:rPr>
        <w:t>a) Cấp tỉnh: 20</w:t>
      </w:r>
      <w:r w:rsidRPr="00046E5D">
        <w:rPr>
          <w:bCs/>
        </w:rPr>
        <w:t>0.000 đồng/học viên</w:t>
      </w:r>
      <w:r w:rsidR="003E5E28" w:rsidRPr="003E5E28">
        <w:rPr>
          <w:bCs/>
        </w:rPr>
        <w:t xml:space="preserve"> (</w:t>
      </w:r>
      <w:r w:rsidR="003E5E28" w:rsidRPr="00012A15">
        <w:rPr>
          <w:bCs/>
          <w:i/>
          <w:iCs/>
        </w:rPr>
        <w:t>bằng định mức tại mục 4, Công văn số 3739/UBND-NC</w:t>
      </w:r>
      <w:r w:rsidR="003E5E28" w:rsidRPr="003E5E28">
        <w:rPr>
          <w:bCs/>
        </w:rPr>
        <w:t>)</w:t>
      </w:r>
    </w:p>
    <w:p w14:paraId="32830A7E" w14:textId="2D69201E" w:rsidR="00094AE6" w:rsidRPr="003E5E28" w:rsidRDefault="00094AE6" w:rsidP="003E5E28">
      <w:pPr>
        <w:spacing w:before="120" w:after="120"/>
        <w:ind w:firstLine="709"/>
        <w:jc w:val="both"/>
        <w:rPr>
          <w:bCs/>
        </w:rPr>
      </w:pPr>
      <w:r w:rsidRPr="003E5E28">
        <w:rPr>
          <w:bCs/>
        </w:rPr>
        <w:t>b) Cấp huyện: 14</w:t>
      </w:r>
      <w:r w:rsidRPr="00046E5D">
        <w:rPr>
          <w:bCs/>
        </w:rPr>
        <w:t>0.000 đồng/học viên</w:t>
      </w:r>
      <w:r w:rsidR="003E5E28" w:rsidRPr="003E5E28">
        <w:rPr>
          <w:bCs/>
        </w:rPr>
        <w:t xml:space="preserve"> (</w:t>
      </w:r>
      <w:r w:rsidR="003E5E28" w:rsidRPr="00012A15">
        <w:rPr>
          <w:bCs/>
          <w:i/>
          <w:iCs/>
        </w:rPr>
        <w:t>b</w:t>
      </w:r>
      <w:r w:rsidR="00B20484">
        <w:rPr>
          <w:bCs/>
          <w:i/>
          <w:iCs/>
        </w:rPr>
        <w:t>ằ</w:t>
      </w:r>
      <w:r w:rsidR="003E5E28" w:rsidRPr="00012A15">
        <w:rPr>
          <w:bCs/>
          <w:i/>
          <w:iCs/>
        </w:rPr>
        <w:t>ng 70% cấp tỉnh</w:t>
      </w:r>
      <w:r w:rsidR="003E5E28" w:rsidRPr="003E5E28">
        <w:rPr>
          <w:bCs/>
        </w:rPr>
        <w:t>)</w:t>
      </w:r>
    </w:p>
    <w:p w14:paraId="68365E6F" w14:textId="493AD439" w:rsidR="00094AE6" w:rsidRDefault="00094AE6" w:rsidP="00094AE6">
      <w:pPr>
        <w:spacing w:before="120" w:after="120"/>
        <w:ind w:firstLine="709"/>
        <w:jc w:val="both"/>
        <w:rPr>
          <w:bCs/>
          <w:lang w:val="vi-VN"/>
        </w:rPr>
      </w:pPr>
      <w:r w:rsidRPr="00046E5D">
        <w:rPr>
          <w:bCs/>
        </w:rPr>
        <w:t>13. Các khoản chi phí theo thực tế phục vụ trực tiếp lớp học</w:t>
      </w:r>
    </w:p>
    <w:p w14:paraId="70EC6F49" w14:textId="45B22AE5" w:rsidR="003E5E28" w:rsidRDefault="003E5E28" w:rsidP="00094AE6">
      <w:pPr>
        <w:spacing w:before="120" w:after="120"/>
        <w:ind w:firstLine="709"/>
        <w:jc w:val="both"/>
        <w:rPr>
          <w:bCs/>
          <w:lang w:val="vi-VN"/>
        </w:rPr>
      </w:pPr>
      <w:r>
        <w:rPr>
          <w:bCs/>
          <w:lang w:val="vi-VN"/>
        </w:rPr>
        <w:t>Các điểm a, b, c, d, đ: chi theo thực tế.</w:t>
      </w:r>
    </w:p>
    <w:p w14:paraId="770EC1F7" w14:textId="5A98359E" w:rsidR="003E5E28" w:rsidRPr="00420AC1" w:rsidRDefault="003E5E28" w:rsidP="003E5E28">
      <w:pPr>
        <w:spacing w:before="120" w:after="120"/>
        <w:ind w:firstLine="709"/>
        <w:jc w:val="both"/>
        <w:rPr>
          <w:bCs/>
          <w:i/>
          <w:iCs/>
          <w:lang w:val="vi-VN"/>
        </w:rPr>
      </w:pPr>
      <w:r>
        <w:rPr>
          <w:bCs/>
          <w:lang w:val="vi-VN"/>
        </w:rPr>
        <w:lastRenderedPageBreak/>
        <w:t xml:space="preserve">e) Chi </w:t>
      </w:r>
      <w:r w:rsidRPr="00046E5D">
        <w:rPr>
          <w:bCs/>
        </w:rPr>
        <w:t xml:space="preserve">làm thêm giờ (nếu có) cho cán bộ quản lý lớp học, </w:t>
      </w:r>
      <w:r>
        <w:rPr>
          <w:bCs/>
          <w:lang w:val="vi-VN"/>
        </w:rPr>
        <w:t>mức chi tối đa không quá 10% trên tổng kinh phí của mỗi lớp học</w:t>
      </w:r>
      <w:r w:rsidR="00420AC1">
        <w:rPr>
          <w:bCs/>
          <w:lang w:val="vi-VN"/>
        </w:rPr>
        <w:t xml:space="preserve"> (</w:t>
      </w:r>
      <w:r w:rsidR="00420AC1" w:rsidRPr="00420AC1">
        <w:rPr>
          <w:bCs/>
          <w:i/>
          <w:iCs/>
          <w:lang w:val="vi-VN"/>
        </w:rPr>
        <w:t>đề xuất k</w:t>
      </w:r>
      <w:r w:rsidRPr="00420AC1">
        <w:rPr>
          <w:i/>
          <w:iCs/>
          <w:lang w:val="vi-VN"/>
        </w:rPr>
        <w:t xml:space="preserve">inh phí </w:t>
      </w:r>
      <w:r w:rsidRPr="00420AC1">
        <w:rPr>
          <w:bCs/>
          <w:i/>
          <w:iCs/>
        </w:rPr>
        <w:t>làm thêm giờ cho cán bộ quản lý lớp học</w:t>
      </w:r>
      <w:r w:rsidRPr="00420AC1">
        <w:rPr>
          <w:bCs/>
          <w:i/>
          <w:iCs/>
          <w:lang w:val="vi-VN"/>
        </w:rPr>
        <w:t xml:space="preserve"> tính theo định mức tại mục 9, </w:t>
      </w:r>
      <w:r w:rsidRPr="00420AC1">
        <w:rPr>
          <w:i/>
          <w:iCs/>
          <w:lang w:val="vi-VN"/>
        </w:rPr>
        <w:t>Công văn số 3739/UBND-NC ngày 12/12/2019 của UBND tỉnh</w:t>
      </w:r>
      <w:r w:rsidR="00420AC1">
        <w:rPr>
          <w:i/>
          <w:iCs/>
          <w:lang w:val="vi-VN"/>
        </w:rPr>
        <w:t>)</w:t>
      </w:r>
    </w:p>
    <w:p w14:paraId="4CFB9A8B" w14:textId="77777777" w:rsidR="00094AE6" w:rsidRPr="00046E5D" w:rsidRDefault="00094AE6" w:rsidP="00094AE6">
      <w:pPr>
        <w:spacing w:before="120" w:after="120"/>
        <w:ind w:firstLine="709"/>
        <w:jc w:val="both"/>
        <w:rPr>
          <w:bCs/>
        </w:rPr>
      </w:pPr>
      <w:r w:rsidRPr="00046E5D">
        <w:rPr>
          <w:bCs/>
        </w:rPr>
        <w:t>14. Chi phí tổ chức cho học viên đi khảo sát, thực tế</w:t>
      </w:r>
    </w:p>
    <w:p w14:paraId="6B6495B1" w14:textId="6F9A373C" w:rsidR="00094AE6" w:rsidRPr="00420AC1" w:rsidRDefault="00094AE6" w:rsidP="00094AE6">
      <w:pPr>
        <w:spacing w:before="120" w:after="120"/>
        <w:ind w:firstLine="709"/>
        <w:jc w:val="both"/>
        <w:rPr>
          <w:bCs/>
          <w:i/>
          <w:iCs/>
          <w:lang w:val="vi-VN"/>
        </w:rPr>
      </w:pPr>
      <w:r w:rsidRPr="00046E5D">
        <w:rPr>
          <w:bCs/>
        </w:rPr>
        <w:t xml:space="preserve">a) Chi trả tiền phương tiện đưa, đón học viên đi khảo sát, thực tế: </w:t>
      </w:r>
      <w:r w:rsidRPr="00420AC1">
        <w:rPr>
          <w:bCs/>
          <w:i/>
          <w:iCs/>
        </w:rPr>
        <w:t>Theo hợp đồng, chứng từ chi thực tế</w:t>
      </w:r>
      <w:r w:rsidR="00420AC1" w:rsidRPr="00420AC1">
        <w:rPr>
          <w:bCs/>
          <w:i/>
          <w:iCs/>
          <w:lang w:val="vi-VN"/>
        </w:rPr>
        <w:t>.</w:t>
      </w:r>
    </w:p>
    <w:p w14:paraId="0CCFA748" w14:textId="707E62B7" w:rsidR="00094AE6" w:rsidRPr="00046E5D" w:rsidRDefault="00094AE6" w:rsidP="00094AE6">
      <w:pPr>
        <w:spacing w:before="120" w:after="120"/>
        <w:ind w:firstLine="709"/>
        <w:jc w:val="both"/>
        <w:rPr>
          <w:bCs/>
        </w:rPr>
      </w:pPr>
      <w:r w:rsidRPr="00046E5D">
        <w:rPr>
          <w:bCs/>
        </w:rPr>
        <w:t xml:space="preserve">b) Hỗ trợ một phần tiền ăn, tiền nghỉ cho học viên trong những ngày đi thực tế: </w:t>
      </w:r>
      <w:r w:rsidR="00012A15" w:rsidRPr="00420AC1">
        <w:rPr>
          <w:bCs/>
          <w:i/>
          <w:iCs/>
        </w:rPr>
        <w:t>the</w:t>
      </w:r>
      <w:r w:rsidR="00012A15" w:rsidRPr="00420AC1">
        <w:rPr>
          <w:bCs/>
          <w:i/>
          <w:iCs/>
          <w:lang w:val="vi-VN"/>
        </w:rPr>
        <w:t>o</w:t>
      </w:r>
      <w:r w:rsidRPr="00420AC1">
        <w:rPr>
          <w:bCs/>
          <w:i/>
          <w:iCs/>
        </w:rPr>
        <w:t xml:space="preserve"> quy định tại Nghị quyết số 53/2017/NQ-HĐND và phải bảo đảm trong phạm vi dự toán kinh phí đào tạo, bồi dưỡng được giao</w:t>
      </w:r>
      <w:r w:rsidRPr="00046E5D">
        <w:rPr>
          <w:bCs/>
        </w:rPr>
        <w:t xml:space="preserve">. </w:t>
      </w:r>
    </w:p>
    <w:p w14:paraId="155131ED" w14:textId="77777777" w:rsidR="00094AE6" w:rsidRPr="00046E5D" w:rsidRDefault="00094AE6" w:rsidP="00E1144A">
      <w:pPr>
        <w:spacing w:before="120" w:after="120"/>
        <w:ind w:firstLine="709"/>
        <w:jc w:val="both"/>
        <w:rPr>
          <w:bCs/>
        </w:rPr>
      </w:pPr>
      <w:r w:rsidRPr="00046E5D">
        <w:rPr>
          <w:bCs/>
        </w:rPr>
        <w:t>15. Chi hỗ trợ một phần tiền ăn cho học viên trong thời gian tập huấn, bồi dưỡng tập trung; chi hỗ trợ chi phí đi lại cho học viên từ cơ quan đến nơi tập huấn, bồi dưỡng (một lượt đi và về); chi thanh toán tiền thuê chỗ nghỉ cho học viên trong thời gian tập huấn, bồi dưỡng tập trung tại cơ sở tập huấn, bồi dưỡng (trong trường hợp cơ sở tập huấn, bồi dưỡng và đơn vị tổ chức tập huấn, bồi dưỡng xác nhận không bố trí được chỗ nghỉ)</w:t>
      </w:r>
    </w:p>
    <w:p w14:paraId="4E91699B" w14:textId="3A7068B1" w:rsidR="00E53A28" w:rsidRDefault="00094AE6" w:rsidP="00E1144A">
      <w:pPr>
        <w:spacing w:before="120" w:after="120"/>
        <w:ind w:firstLine="709"/>
        <w:jc w:val="both"/>
        <w:rPr>
          <w:i/>
          <w:iCs/>
          <w:color w:val="000000" w:themeColor="text1"/>
          <w:lang w:val="vi-VN"/>
        </w:rPr>
      </w:pPr>
      <w:r w:rsidRPr="00420AC1">
        <w:rPr>
          <w:i/>
          <w:iCs/>
          <w:color w:val="000000" w:themeColor="text1"/>
        </w:rPr>
        <w:t xml:space="preserve">Các khoản chi hỗ trợ này </w:t>
      </w:r>
      <w:r w:rsidR="00B20484">
        <w:rPr>
          <w:i/>
          <w:iCs/>
          <w:color w:val="000000" w:themeColor="text1"/>
        </w:rPr>
        <w:t>phải</w:t>
      </w:r>
      <w:r w:rsidR="00B20484">
        <w:rPr>
          <w:i/>
          <w:iCs/>
          <w:color w:val="000000" w:themeColor="text1"/>
          <w:lang w:val="vi-VN"/>
        </w:rPr>
        <w:t xml:space="preserve"> </w:t>
      </w:r>
      <w:r w:rsidRPr="00420AC1">
        <w:rPr>
          <w:i/>
          <w:iCs/>
          <w:color w:val="000000" w:themeColor="text1"/>
        </w:rPr>
        <w:t>phù hợp với mức chi hiện hành tại Nghị quyết số 53/2017/NQ-HĐND</w:t>
      </w:r>
      <w:r w:rsidR="00012A15" w:rsidRPr="00420AC1">
        <w:rPr>
          <w:i/>
          <w:iCs/>
          <w:color w:val="000000" w:themeColor="text1"/>
          <w:lang w:val="vi-VN"/>
        </w:rPr>
        <w:t>.</w:t>
      </w:r>
    </w:p>
    <w:p w14:paraId="369FF27A" w14:textId="1ECE102C" w:rsidR="00420AC1" w:rsidRPr="00420AC1" w:rsidRDefault="00420AC1" w:rsidP="00E1144A">
      <w:pPr>
        <w:pStyle w:val="Heading3"/>
        <w:spacing w:before="120" w:after="120"/>
        <w:ind w:firstLine="709"/>
        <w:jc w:val="both"/>
        <w:rPr>
          <w:rFonts w:ascii="Times New Roman" w:hAnsi="Times New Roman"/>
          <w:b w:val="0"/>
          <w:bCs/>
          <w:sz w:val="28"/>
          <w:szCs w:val="28"/>
          <w:lang w:val="vi-VN"/>
        </w:rPr>
      </w:pPr>
      <w:r w:rsidRPr="00420AC1">
        <w:rPr>
          <w:rFonts w:ascii="Times New Roman" w:hAnsi="Times New Roman"/>
          <w:b w:val="0"/>
          <w:bCs/>
          <w:sz w:val="28"/>
          <w:szCs w:val="28"/>
        </w:rPr>
        <w:t>Trên</w:t>
      </w:r>
      <w:r w:rsidRPr="00420AC1">
        <w:rPr>
          <w:rFonts w:ascii="Times New Roman" w:hAnsi="Times New Roman"/>
          <w:b w:val="0"/>
          <w:bCs/>
          <w:sz w:val="28"/>
          <w:szCs w:val="28"/>
          <w:lang w:val="vi-VN"/>
        </w:rPr>
        <w:t xml:space="preserve"> đây là </w:t>
      </w:r>
      <w:r w:rsidR="00E1144A">
        <w:rPr>
          <w:rFonts w:ascii="Times New Roman" w:hAnsi="Times New Roman"/>
          <w:b w:val="0"/>
          <w:bCs/>
          <w:sz w:val="28"/>
          <w:szCs w:val="28"/>
          <w:lang w:val="vi-VN"/>
        </w:rPr>
        <w:t xml:space="preserve">báo cáo </w:t>
      </w:r>
      <w:r w:rsidRPr="00420AC1">
        <w:rPr>
          <w:rFonts w:ascii="Times New Roman" w:hAnsi="Times New Roman"/>
          <w:b w:val="0"/>
          <w:bCs/>
          <w:sz w:val="28"/>
          <w:szCs w:val="28"/>
          <w:lang w:val="vi-VN"/>
        </w:rPr>
        <w:t>thuyết minh đ</w:t>
      </w:r>
      <w:r w:rsidRPr="00420AC1">
        <w:rPr>
          <w:rFonts w:ascii="Times New Roman" w:hAnsi="Times New Roman"/>
          <w:b w:val="0"/>
          <w:bCs/>
          <w:sz w:val="28"/>
          <w:szCs w:val="28"/>
        </w:rPr>
        <w:t>ề</w:t>
      </w:r>
      <w:r w:rsidRPr="00420AC1">
        <w:rPr>
          <w:rFonts w:ascii="Times New Roman" w:hAnsi="Times New Roman"/>
          <w:b w:val="0"/>
          <w:bCs/>
          <w:sz w:val="28"/>
          <w:szCs w:val="28"/>
          <w:lang w:val="vi-VN"/>
        </w:rPr>
        <w:t xml:space="preserve"> xuất quy định về mức chi kinh phí tập huấn, bồi dưỡng giáo viên và cán bộ quản lý cơ sở giáo dục để thực hiện chương trình mới, sách giáo khoa mới giáo dục phổ thông trên địa bàn tỉnh của Sở Giáo dục và Đào tạo tỉnh Bình Phước.</w:t>
      </w:r>
    </w:p>
    <w:p w14:paraId="17ED425E" w14:textId="795CC901" w:rsidR="00420AC1" w:rsidRDefault="00420AC1" w:rsidP="00137F89">
      <w:pPr>
        <w:spacing w:before="120" w:after="120"/>
        <w:ind w:firstLine="709"/>
        <w:jc w:val="both"/>
        <w:rPr>
          <w:lang w:val="vi-VN"/>
        </w:rPr>
      </w:pPr>
      <w:r>
        <w:rPr>
          <w:lang w:val="vi-VN"/>
        </w:rPr>
        <w:t xml:space="preserve">Kính đề nghị </w:t>
      </w:r>
      <w:r w:rsidR="00F542D5">
        <w:rPr>
          <w:lang w:val="vi-VN"/>
        </w:rPr>
        <w:t>các Sở, ngành</w:t>
      </w:r>
      <w:r w:rsidR="00E42D2B">
        <w:rPr>
          <w:lang w:val="vi-VN"/>
        </w:rPr>
        <w:t xml:space="preserve">; </w:t>
      </w:r>
      <w:r>
        <w:rPr>
          <w:lang w:val="vi-VN"/>
        </w:rPr>
        <w:t>Uỷ</w:t>
      </w:r>
      <w:r w:rsidR="00E1144A">
        <w:rPr>
          <w:lang w:val="vi-VN"/>
        </w:rPr>
        <w:t xml:space="preserve"> </w:t>
      </w:r>
      <w:r>
        <w:rPr>
          <w:lang w:val="vi-VN"/>
        </w:rPr>
        <w:t xml:space="preserve">ban nhân dân </w:t>
      </w:r>
      <w:r w:rsidR="00F542D5">
        <w:rPr>
          <w:lang w:val="vi-VN"/>
        </w:rPr>
        <w:t>các huyện, thị xã, thành phố</w:t>
      </w:r>
      <w:r w:rsidR="00E42D2B">
        <w:rPr>
          <w:lang w:val="vi-VN"/>
        </w:rPr>
        <w:t>;</w:t>
      </w:r>
      <w:r w:rsidR="00F542D5">
        <w:rPr>
          <w:lang w:val="vi-VN"/>
        </w:rPr>
        <w:t xml:space="preserve"> các phòng Giáo dục và Đào tạo</w:t>
      </w:r>
      <w:r w:rsidR="00E42D2B">
        <w:rPr>
          <w:lang w:val="vi-VN"/>
        </w:rPr>
        <w:t>;</w:t>
      </w:r>
      <w:r w:rsidR="00F542D5">
        <w:rPr>
          <w:lang w:val="vi-VN"/>
        </w:rPr>
        <w:t xml:space="preserve"> các cơ sở giáo dục </w:t>
      </w:r>
      <w:r w:rsidR="00137F89">
        <w:rPr>
          <w:lang w:val="vi-VN"/>
        </w:rPr>
        <w:t xml:space="preserve">đóng góp </w:t>
      </w:r>
      <w:r>
        <w:rPr>
          <w:lang w:val="vi-VN"/>
        </w:rPr>
        <w:t xml:space="preserve">ý kiến </w:t>
      </w:r>
      <w:r w:rsidR="00F542D5">
        <w:rPr>
          <w:lang w:val="vi-VN"/>
        </w:rPr>
        <w:t xml:space="preserve">để Sở Giáo dục và Đào tạo </w:t>
      </w:r>
      <w:r w:rsidR="00247F7F">
        <w:rPr>
          <w:lang w:val="vi-VN"/>
        </w:rPr>
        <w:t xml:space="preserve">tổng hợp, tham mưu </w:t>
      </w:r>
      <w:r w:rsidR="00F542D5">
        <w:rPr>
          <w:lang w:val="vi-VN"/>
        </w:rPr>
        <w:t xml:space="preserve">UBND tỉnh </w:t>
      </w:r>
      <w:r w:rsidR="00247F7F">
        <w:rPr>
          <w:lang w:val="vi-VN"/>
        </w:rPr>
        <w:t>theo quy định</w:t>
      </w:r>
      <w:r>
        <w:rPr>
          <w:lang w:val="vi-VN"/>
        </w:rPr>
        <w:t>./.</w:t>
      </w:r>
    </w:p>
    <w:p w14:paraId="32498A53" w14:textId="77777777" w:rsidR="00E53A28" w:rsidRDefault="00E53A28" w:rsidP="000E2117">
      <w:pPr>
        <w:spacing w:before="120" w:after="120"/>
        <w:ind w:firstLine="709"/>
        <w:jc w:val="both"/>
        <w:rPr>
          <w:bCs/>
        </w:rPr>
      </w:pPr>
    </w:p>
    <w:p w14:paraId="59B3425B" w14:textId="4D059026" w:rsidR="00606AEF" w:rsidRPr="00046E5D" w:rsidRDefault="00606AEF" w:rsidP="000E2117">
      <w:pPr>
        <w:spacing w:before="120" w:after="120"/>
        <w:ind w:firstLine="709"/>
        <w:jc w:val="both"/>
      </w:pPr>
    </w:p>
    <w:p w14:paraId="6977DBA4" w14:textId="77777777" w:rsidR="00606AEF" w:rsidRPr="00046E5D" w:rsidRDefault="00606AEF" w:rsidP="000E2117">
      <w:pPr>
        <w:spacing w:before="120" w:after="120"/>
        <w:ind w:firstLine="709"/>
        <w:jc w:val="both"/>
      </w:pPr>
    </w:p>
    <w:p w14:paraId="05BFA58B" w14:textId="50CC52CF" w:rsidR="00961739" w:rsidRPr="00046E5D" w:rsidRDefault="00961739" w:rsidP="000E2117">
      <w:pPr>
        <w:spacing w:before="80"/>
        <w:ind w:firstLine="709"/>
        <w:jc w:val="both"/>
      </w:pPr>
    </w:p>
    <w:p w14:paraId="02F6B75C" w14:textId="77777777" w:rsidR="00961739" w:rsidRPr="00046E5D" w:rsidRDefault="00961739" w:rsidP="000E2117"/>
    <w:p w14:paraId="4DE4E5C4" w14:textId="77777777" w:rsidR="003D6E77" w:rsidRPr="00046E5D" w:rsidRDefault="003D6E77" w:rsidP="000E2117"/>
    <w:sectPr w:rsidR="003D6E77" w:rsidRPr="00046E5D" w:rsidSect="00E1144A">
      <w:headerReference w:type="even" r:id="rId8"/>
      <w:headerReference w:type="default" r:id="rId9"/>
      <w:footerReference w:type="even" r:id="rId10"/>
      <w:footerReference w:type="default" r:id="rId11"/>
      <w:headerReference w:type="first" r:id="rId12"/>
      <w:pgSz w:w="11907" w:h="16840" w:code="9"/>
      <w:pgMar w:top="1247" w:right="964" w:bottom="1247" w:left="1701"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3A3A" w14:textId="77777777" w:rsidR="00ED3854" w:rsidRDefault="00ED3854">
      <w:r>
        <w:separator/>
      </w:r>
    </w:p>
  </w:endnote>
  <w:endnote w:type="continuationSeparator" w:id="0">
    <w:p w14:paraId="2EAB3AAF" w14:textId="77777777" w:rsidR="00ED3854" w:rsidRDefault="00ED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altName w:val="Times New Roman"/>
    <w:panose1 w:val="02000500000000000000"/>
    <w:charset w:val="00"/>
    <w:family w:val="swiss"/>
    <w:pitch w:val="variable"/>
    <w:sig w:usb0="00000007" w:usb1="00000000" w:usb2="00000000" w:usb3="00000000" w:csb0="00000013" w:csb1="00000000"/>
  </w:font>
  <w:font w:name=".VnTime">
    <w:altName w:val="Times New Roman"/>
    <w:panose1 w:val="02000500000000000000"/>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pecial#Default Metrics 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1A86" w14:textId="77777777" w:rsidR="00392F6E" w:rsidRDefault="00A5097E"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C8D53" w14:textId="77777777" w:rsidR="00392F6E" w:rsidRDefault="00ED3854" w:rsidP="003C089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C0DE" w14:textId="77777777" w:rsidR="00392F6E" w:rsidRDefault="00ED3854" w:rsidP="000D4610">
    <w:pPr>
      <w:pStyle w:val="Footer"/>
      <w:framePr w:wrap="around" w:vAnchor="text" w:hAnchor="margin" w:xAlign="right" w:y="1"/>
      <w:rPr>
        <w:rStyle w:val="PageNumber"/>
      </w:rPr>
    </w:pPr>
  </w:p>
  <w:p w14:paraId="0C2EA938" w14:textId="77777777" w:rsidR="00392F6E" w:rsidRDefault="00ED3854" w:rsidP="003C0892">
    <w:pPr>
      <w:pStyle w:val="Footer"/>
      <w:framePr w:wrap="around" w:vAnchor="text" w:hAnchor="margin" w:xAlign="center" w:y="1"/>
      <w:ind w:right="360" w:firstLine="360"/>
      <w:rPr>
        <w:rStyle w:val="PageNumber"/>
      </w:rPr>
    </w:pPr>
  </w:p>
  <w:p w14:paraId="751E7A88" w14:textId="77777777" w:rsidR="00392F6E" w:rsidRDefault="00ED3854" w:rsidP="00497F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23A8" w14:textId="77777777" w:rsidR="00ED3854" w:rsidRDefault="00ED3854">
      <w:r>
        <w:separator/>
      </w:r>
    </w:p>
  </w:footnote>
  <w:footnote w:type="continuationSeparator" w:id="0">
    <w:p w14:paraId="4A0F27F4" w14:textId="77777777" w:rsidR="00ED3854" w:rsidRDefault="00ED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4B4A" w14:textId="77777777" w:rsidR="00392F6E" w:rsidRDefault="00A5097E" w:rsidP="00E1144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2150D" w14:textId="77777777" w:rsidR="00392F6E" w:rsidRDefault="00ED3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160622"/>
      <w:docPartObj>
        <w:docPartGallery w:val="Page Numbers (Top of Page)"/>
        <w:docPartUnique/>
      </w:docPartObj>
    </w:sdtPr>
    <w:sdtEndPr>
      <w:rPr>
        <w:rStyle w:val="PageNumber"/>
      </w:rPr>
    </w:sdtEndPr>
    <w:sdtContent>
      <w:p w14:paraId="10B2BA7D" w14:textId="250D27DB" w:rsidR="00E1144A" w:rsidRDefault="00E1144A" w:rsidP="007D437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C2A1B" w14:textId="77777777" w:rsidR="00392F6E" w:rsidRDefault="00ED3854">
    <w:pPr>
      <w:pStyle w:val="Header"/>
      <w:jc w:val="center"/>
    </w:pPr>
  </w:p>
  <w:p w14:paraId="1E58143E" w14:textId="77777777" w:rsidR="00392F6E" w:rsidRDefault="00ED3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8897902"/>
      <w:docPartObj>
        <w:docPartGallery w:val="Page Numbers (Top of Page)"/>
        <w:docPartUnique/>
      </w:docPartObj>
    </w:sdtPr>
    <w:sdtEndPr>
      <w:rPr>
        <w:rStyle w:val="PageNumber"/>
      </w:rPr>
    </w:sdtEndPr>
    <w:sdtContent>
      <w:p w14:paraId="230EB05F" w14:textId="72A64089" w:rsidR="00E1144A" w:rsidRDefault="00E1144A" w:rsidP="00E1144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258EAD" w14:textId="5C1091D2" w:rsidR="00342E2C" w:rsidRDefault="00E1144A" w:rsidP="006549D8">
    <w:pPr>
      <w:pStyle w:val="Header"/>
      <w:ind w:right="360"/>
    </w:pPr>
    <w:r>
      <w:rPr>
        <w:noProof/>
      </w:rPr>
      <mc:AlternateContent>
        <mc:Choice Requires="wps">
          <w:drawing>
            <wp:anchor distT="0" distB="0" distL="114300" distR="114300" simplePos="0" relativeHeight="251659264" behindDoc="0" locked="0" layoutInCell="1" allowOverlap="1" wp14:anchorId="02B713F6" wp14:editId="5C9DE9E0">
              <wp:simplePos x="0" y="0"/>
              <wp:positionH relativeFrom="column">
                <wp:posOffset>2830128</wp:posOffset>
              </wp:positionH>
              <wp:positionV relativeFrom="paragraph">
                <wp:posOffset>-48126</wp:posOffset>
              </wp:positionV>
              <wp:extent cx="264695" cy="240631"/>
              <wp:effectExtent l="0" t="0" r="2540" b="1270"/>
              <wp:wrapNone/>
              <wp:docPr id="6" name="Rectangle 6"/>
              <wp:cNvGraphicFramePr/>
              <a:graphic xmlns:a="http://schemas.openxmlformats.org/drawingml/2006/main">
                <a:graphicData uri="http://schemas.microsoft.com/office/word/2010/wordprocessingShape">
                  <wps:wsp>
                    <wps:cNvSpPr/>
                    <wps:spPr>
                      <a:xfrm>
                        <a:off x="0" y="0"/>
                        <a:ext cx="264695" cy="24063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CC9F4" id="Rectangle 6" o:spid="_x0000_s1026" style="position:absolute;margin-left:222.85pt;margin-top:-3.8pt;width:20.85pt;height:1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" fillcolor="white [3201]"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E5A"/>
    <w:multiLevelType w:val="hybridMultilevel"/>
    <w:tmpl w:val="2A042D78"/>
    <w:lvl w:ilvl="0" w:tplc="F56024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6DF23DD"/>
    <w:multiLevelType w:val="hybridMultilevel"/>
    <w:tmpl w:val="C84E04A6"/>
    <w:lvl w:ilvl="0" w:tplc="769E28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7A2B89"/>
    <w:multiLevelType w:val="hybridMultilevel"/>
    <w:tmpl w:val="F45C07EE"/>
    <w:lvl w:ilvl="0" w:tplc="F796F7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9367F29"/>
    <w:multiLevelType w:val="hybridMultilevel"/>
    <w:tmpl w:val="C456C948"/>
    <w:lvl w:ilvl="0" w:tplc="33E402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52859650">
    <w:abstractNumId w:val="2"/>
  </w:num>
  <w:num w:numId="2" w16cid:durableId="368796307">
    <w:abstractNumId w:val="1"/>
  </w:num>
  <w:num w:numId="3" w16cid:durableId="749893119">
    <w:abstractNumId w:val="0"/>
  </w:num>
  <w:num w:numId="4" w16cid:durableId="65726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39"/>
    <w:rsid w:val="00007782"/>
    <w:rsid w:val="00012A15"/>
    <w:rsid w:val="00016A3B"/>
    <w:rsid w:val="00016D9B"/>
    <w:rsid w:val="000228EF"/>
    <w:rsid w:val="000430FE"/>
    <w:rsid w:val="00046E5D"/>
    <w:rsid w:val="00062993"/>
    <w:rsid w:val="00067A6A"/>
    <w:rsid w:val="00086E47"/>
    <w:rsid w:val="0009008A"/>
    <w:rsid w:val="00094AE6"/>
    <w:rsid w:val="000B6CA3"/>
    <w:rsid w:val="000C31AD"/>
    <w:rsid w:val="000D3A53"/>
    <w:rsid w:val="000D7514"/>
    <w:rsid w:val="000E2117"/>
    <w:rsid w:val="00103FAD"/>
    <w:rsid w:val="00106F0D"/>
    <w:rsid w:val="001208A4"/>
    <w:rsid w:val="00122726"/>
    <w:rsid w:val="00131EBF"/>
    <w:rsid w:val="00133D8F"/>
    <w:rsid w:val="00137F89"/>
    <w:rsid w:val="00147C0D"/>
    <w:rsid w:val="00162BE4"/>
    <w:rsid w:val="00170BEB"/>
    <w:rsid w:val="001740BB"/>
    <w:rsid w:val="00176BD1"/>
    <w:rsid w:val="00177D0A"/>
    <w:rsid w:val="001819DC"/>
    <w:rsid w:val="00194775"/>
    <w:rsid w:val="001C24EB"/>
    <w:rsid w:val="001C458E"/>
    <w:rsid w:val="001C6331"/>
    <w:rsid w:val="001E0EE0"/>
    <w:rsid w:val="001F582E"/>
    <w:rsid w:val="00203EC9"/>
    <w:rsid w:val="00216208"/>
    <w:rsid w:val="0022330B"/>
    <w:rsid w:val="002358C0"/>
    <w:rsid w:val="0023764C"/>
    <w:rsid w:val="00247F7F"/>
    <w:rsid w:val="00256D11"/>
    <w:rsid w:val="0028088E"/>
    <w:rsid w:val="00284DC0"/>
    <w:rsid w:val="002B15B5"/>
    <w:rsid w:val="002B2B74"/>
    <w:rsid w:val="002D23C7"/>
    <w:rsid w:val="002D4FD8"/>
    <w:rsid w:val="002D5684"/>
    <w:rsid w:val="002D573B"/>
    <w:rsid w:val="002F66B4"/>
    <w:rsid w:val="00324607"/>
    <w:rsid w:val="00342E2C"/>
    <w:rsid w:val="00352B4E"/>
    <w:rsid w:val="003809E5"/>
    <w:rsid w:val="00393986"/>
    <w:rsid w:val="00394B4E"/>
    <w:rsid w:val="00395CBF"/>
    <w:rsid w:val="003B4967"/>
    <w:rsid w:val="003D0C78"/>
    <w:rsid w:val="003D6E77"/>
    <w:rsid w:val="003E5E28"/>
    <w:rsid w:val="003E78C1"/>
    <w:rsid w:val="003F62CB"/>
    <w:rsid w:val="004126A9"/>
    <w:rsid w:val="00420AC1"/>
    <w:rsid w:val="00426B10"/>
    <w:rsid w:val="00435B8E"/>
    <w:rsid w:val="004361B8"/>
    <w:rsid w:val="00442898"/>
    <w:rsid w:val="00456578"/>
    <w:rsid w:val="0047359A"/>
    <w:rsid w:val="004A3C2E"/>
    <w:rsid w:val="004D2A02"/>
    <w:rsid w:val="004E0121"/>
    <w:rsid w:val="004E2A72"/>
    <w:rsid w:val="004E3F25"/>
    <w:rsid w:val="004E5B71"/>
    <w:rsid w:val="004E71BB"/>
    <w:rsid w:val="004F474F"/>
    <w:rsid w:val="00515686"/>
    <w:rsid w:val="00550BC2"/>
    <w:rsid w:val="00580A6E"/>
    <w:rsid w:val="005844AA"/>
    <w:rsid w:val="0059260B"/>
    <w:rsid w:val="005A2BC7"/>
    <w:rsid w:val="005C3302"/>
    <w:rsid w:val="005E1B96"/>
    <w:rsid w:val="005F6526"/>
    <w:rsid w:val="00606AEF"/>
    <w:rsid w:val="006266E6"/>
    <w:rsid w:val="00636935"/>
    <w:rsid w:val="00636B0C"/>
    <w:rsid w:val="00637B15"/>
    <w:rsid w:val="006549D8"/>
    <w:rsid w:val="00683866"/>
    <w:rsid w:val="00685E52"/>
    <w:rsid w:val="00690EB3"/>
    <w:rsid w:val="006C2AF8"/>
    <w:rsid w:val="006D21A9"/>
    <w:rsid w:val="006F0C1D"/>
    <w:rsid w:val="006F25E2"/>
    <w:rsid w:val="00700E40"/>
    <w:rsid w:val="00715587"/>
    <w:rsid w:val="00720AEB"/>
    <w:rsid w:val="00721FED"/>
    <w:rsid w:val="00732E11"/>
    <w:rsid w:val="0073602E"/>
    <w:rsid w:val="00790822"/>
    <w:rsid w:val="007B4841"/>
    <w:rsid w:val="007B7002"/>
    <w:rsid w:val="007C402A"/>
    <w:rsid w:val="00804068"/>
    <w:rsid w:val="008059E2"/>
    <w:rsid w:val="008134E6"/>
    <w:rsid w:val="00816ECA"/>
    <w:rsid w:val="00825C5F"/>
    <w:rsid w:val="00825FD3"/>
    <w:rsid w:val="008421A3"/>
    <w:rsid w:val="00842487"/>
    <w:rsid w:val="008536B7"/>
    <w:rsid w:val="008548A2"/>
    <w:rsid w:val="0085552F"/>
    <w:rsid w:val="008605D4"/>
    <w:rsid w:val="00874B4D"/>
    <w:rsid w:val="00892DBA"/>
    <w:rsid w:val="008A1B7F"/>
    <w:rsid w:val="008B0F6D"/>
    <w:rsid w:val="008B4F34"/>
    <w:rsid w:val="008C3217"/>
    <w:rsid w:val="008C4F6B"/>
    <w:rsid w:val="008C6774"/>
    <w:rsid w:val="008C7578"/>
    <w:rsid w:val="008D1C10"/>
    <w:rsid w:val="008D422F"/>
    <w:rsid w:val="008D758B"/>
    <w:rsid w:val="00901560"/>
    <w:rsid w:val="00901B32"/>
    <w:rsid w:val="00920097"/>
    <w:rsid w:val="00920282"/>
    <w:rsid w:val="00925C42"/>
    <w:rsid w:val="00941D1F"/>
    <w:rsid w:val="00951176"/>
    <w:rsid w:val="00952230"/>
    <w:rsid w:val="00955A4C"/>
    <w:rsid w:val="00961739"/>
    <w:rsid w:val="009626AF"/>
    <w:rsid w:val="00966C8F"/>
    <w:rsid w:val="00980507"/>
    <w:rsid w:val="009D029B"/>
    <w:rsid w:val="009D7FB7"/>
    <w:rsid w:val="00A009BF"/>
    <w:rsid w:val="00A1218A"/>
    <w:rsid w:val="00A178A4"/>
    <w:rsid w:val="00A24938"/>
    <w:rsid w:val="00A41DCC"/>
    <w:rsid w:val="00A439D8"/>
    <w:rsid w:val="00A46572"/>
    <w:rsid w:val="00A46C51"/>
    <w:rsid w:val="00A5097E"/>
    <w:rsid w:val="00A60585"/>
    <w:rsid w:val="00A74BC2"/>
    <w:rsid w:val="00A806FE"/>
    <w:rsid w:val="00A85037"/>
    <w:rsid w:val="00A86451"/>
    <w:rsid w:val="00AA2658"/>
    <w:rsid w:val="00AA6FE0"/>
    <w:rsid w:val="00AC2747"/>
    <w:rsid w:val="00AC6FE1"/>
    <w:rsid w:val="00AF3E5B"/>
    <w:rsid w:val="00B03FB6"/>
    <w:rsid w:val="00B1551B"/>
    <w:rsid w:val="00B16213"/>
    <w:rsid w:val="00B20484"/>
    <w:rsid w:val="00B220BF"/>
    <w:rsid w:val="00B34584"/>
    <w:rsid w:val="00B80A06"/>
    <w:rsid w:val="00BA0705"/>
    <w:rsid w:val="00BB6D31"/>
    <w:rsid w:val="00BD5998"/>
    <w:rsid w:val="00BE042A"/>
    <w:rsid w:val="00C04F68"/>
    <w:rsid w:val="00C05EDB"/>
    <w:rsid w:val="00C2106A"/>
    <w:rsid w:val="00C519DF"/>
    <w:rsid w:val="00C55954"/>
    <w:rsid w:val="00C90829"/>
    <w:rsid w:val="00CA0037"/>
    <w:rsid w:val="00CA2C0E"/>
    <w:rsid w:val="00CB0BDF"/>
    <w:rsid w:val="00CB3F9D"/>
    <w:rsid w:val="00CC308D"/>
    <w:rsid w:val="00CE200E"/>
    <w:rsid w:val="00CE2EB0"/>
    <w:rsid w:val="00D14556"/>
    <w:rsid w:val="00D16874"/>
    <w:rsid w:val="00D22458"/>
    <w:rsid w:val="00D2347F"/>
    <w:rsid w:val="00D557F4"/>
    <w:rsid w:val="00D71BD4"/>
    <w:rsid w:val="00D768D8"/>
    <w:rsid w:val="00DA1047"/>
    <w:rsid w:val="00DC165F"/>
    <w:rsid w:val="00DC50B4"/>
    <w:rsid w:val="00DF075A"/>
    <w:rsid w:val="00E1144A"/>
    <w:rsid w:val="00E12615"/>
    <w:rsid w:val="00E136E0"/>
    <w:rsid w:val="00E42D2B"/>
    <w:rsid w:val="00E44050"/>
    <w:rsid w:val="00E53A28"/>
    <w:rsid w:val="00E56D4D"/>
    <w:rsid w:val="00E60629"/>
    <w:rsid w:val="00E6716C"/>
    <w:rsid w:val="00E6772A"/>
    <w:rsid w:val="00E777F1"/>
    <w:rsid w:val="00E977BB"/>
    <w:rsid w:val="00ED3854"/>
    <w:rsid w:val="00EE73A7"/>
    <w:rsid w:val="00EF42F5"/>
    <w:rsid w:val="00F05ECB"/>
    <w:rsid w:val="00F139FF"/>
    <w:rsid w:val="00F40F01"/>
    <w:rsid w:val="00F542D5"/>
    <w:rsid w:val="00F65C72"/>
    <w:rsid w:val="00F85FA2"/>
    <w:rsid w:val="00FD199A"/>
    <w:rsid w:val="00FD237E"/>
    <w:rsid w:val="00FD4C5C"/>
    <w:rsid w:val="00FE0271"/>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A4056"/>
  <w15:docId w15:val="{8DB76444-B80A-4A49-A22C-77F23E5F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73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E20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61739"/>
    <w:pPr>
      <w:keepNext/>
      <w:jc w:val="center"/>
      <w:outlineLvl w:val="1"/>
    </w:pPr>
    <w:rPr>
      <w:rFonts w:ascii=".VnTimeH" w:hAnsi=".VnTimeH"/>
      <w:b/>
      <w:szCs w:val="20"/>
    </w:rPr>
  </w:style>
  <w:style w:type="paragraph" w:styleId="Heading3">
    <w:name w:val="heading 3"/>
    <w:basedOn w:val="Normal"/>
    <w:next w:val="Normal"/>
    <w:link w:val="Heading3Char"/>
    <w:qFormat/>
    <w:rsid w:val="00961739"/>
    <w:pPr>
      <w:keepNext/>
      <w:jc w:val="center"/>
      <w:outlineLvl w:val="2"/>
    </w:pPr>
    <w:rPr>
      <w:rFonts w:ascii=".VnTimeH" w:hAnsi=".VnTimeH"/>
      <w:b/>
      <w:sz w:val="24"/>
      <w:szCs w:val="20"/>
    </w:rPr>
  </w:style>
  <w:style w:type="paragraph" w:styleId="Heading5">
    <w:name w:val="heading 5"/>
    <w:basedOn w:val="Normal"/>
    <w:next w:val="Normal"/>
    <w:link w:val="Heading5Char"/>
    <w:qFormat/>
    <w:rsid w:val="00961739"/>
    <w:pPr>
      <w:keepNext/>
      <w:jc w:val="right"/>
      <w:outlineLvl w:val="4"/>
    </w:pPr>
    <w:rPr>
      <w:rFonts w:ascii=".VnTime" w:hAnsi=".VnTime"/>
      <w:i/>
      <w:iCs/>
      <w:szCs w:val="20"/>
    </w:rPr>
  </w:style>
  <w:style w:type="paragraph" w:styleId="Heading7">
    <w:name w:val="heading 7"/>
    <w:basedOn w:val="Normal"/>
    <w:next w:val="Normal"/>
    <w:link w:val="Heading7Char"/>
    <w:qFormat/>
    <w:rsid w:val="0096173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1739"/>
    <w:rPr>
      <w:rFonts w:ascii=".VnTimeH" w:eastAsia="Times New Roman" w:hAnsi=".VnTimeH" w:cs="Times New Roman"/>
      <w:b/>
      <w:sz w:val="28"/>
      <w:szCs w:val="20"/>
    </w:rPr>
  </w:style>
  <w:style w:type="character" w:customStyle="1" w:styleId="Heading3Char">
    <w:name w:val="Heading 3 Char"/>
    <w:basedOn w:val="DefaultParagraphFont"/>
    <w:link w:val="Heading3"/>
    <w:rsid w:val="00961739"/>
    <w:rPr>
      <w:rFonts w:ascii=".VnTimeH" w:eastAsia="Times New Roman" w:hAnsi=".VnTimeH" w:cs="Times New Roman"/>
      <w:b/>
      <w:sz w:val="24"/>
      <w:szCs w:val="20"/>
    </w:rPr>
  </w:style>
  <w:style w:type="character" w:customStyle="1" w:styleId="Heading5Char">
    <w:name w:val="Heading 5 Char"/>
    <w:basedOn w:val="DefaultParagraphFont"/>
    <w:link w:val="Heading5"/>
    <w:rsid w:val="00961739"/>
    <w:rPr>
      <w:rFonts w:ascii=".VnTime" w:eastAsia="Times New Roman" w:hAnsi=".VnTime" w:cs="Times New Roman"/>
      <w:i/>
      <w:iCs/>
      <w:sz w:val="28"/>
      <w:szCs w:val="20"/>
    </w:rPr>
  </w:style>
  <w:style w:type="character" w:customStyle="1" w:styleId="Heading7Char">
    <w:name w:val="Heading 7 Char"/>
    <w:basedOn w:val="DefaultParagraphFont"/>
    <w:link w:val="Heading7"/>
    <w:rsid w:val="00961739"/>
    <w:rPr>
      <w:rFonts w:ascii="Calibri" w:eastAsia="Times New Roman" w:hAnsi="Calibri" w:cs="Times New Roman"/>
      <w:sz w:val="24"/>
      <w:szCs w:val="24"/>
    </w:rPr>
  </w:style>
  <w:style w:type="paragraph" w:styleId="Footer">
    <w:name w:val="footer"/>
    <w:basedOn w:val="Normal"/>
    <w:link w:val="FooterChar"/>
    <w:rsid w:val="00961739"/>
    <w:pPr>
      <w:tabs>
        <w:tab w:val="center" w:pos="4320"/>
        <w:tab w:val="right" w:pos="8640"/>
      </w:tabs>
    </w:pPr>
    <w:rPr>
      <w:rFonts w:ascii=".VnTime" w:hAnsi=".VnTime"/>
      <w:szCs w:val="20"/>
    </w:rPr>
  </w:style>
  <w:style w:type="character" w:customStyle="1" w:styleId="FooterChar">
    <w:name w:val="Footer Char"/>
    <w:basedOn w:val="DefaultParagraphFont"/>
    <w:link w:val="Footer"/>
    <w:rsid w:val="00961739"/>
    <w:rPr>
      <w:rFonts w:ascii=".VnTime" w:eastAsia="Times New Roman" w:hAnsi=".VnTime" w:cs="Times New Roman"/>
      <w:sz w:val="28"/>
      <w:szCs w:val="20"/>
    </w:rPr>
  </w:style>
  <w:style w:type="character" w:styleId="PageNumber">
    <w:name w:val="page number"/>
    <w:basedOn w:val="DefaultParagraphFont"/>
    <w:rsid w:val="00961739"/>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961739"/>
    <w:pPr>
      <w:spacing w:before="100" w:beforeAutospacing="1" w:after="100" w:afterAutospacing="1"/>
    </w:pPr>
    <w:rPr>
      <w:sz w:val="24"/>
      <w:szCs w:val="24"/>
    </w:rPr>
  </w:style>
  <w:style w:type="paragraph" w:styleId="Header">
    <w:name w:val="header"/>
    <w:basedOn w:val="Normal"/>
    <w:link w:val="HeaderChar"/>
    <w:uiPriority w:val="99"/>
    <w:rsid w:val="00961739"/>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961739"/>
    <w:rPr>
      <w:rFonts w:ascii=".VnTime" w:eastAsia="Times New Roman" w:hAnsi=".VnTime" w:cs="Times New Roman"/>
      <w:sz w:val="28"/>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961739"/>
    <w:rPr>
      <w:rFonts w:ascii="Times New Roman" w:eastAsia="Times New Roman" w:hAnsi="Times New Roman" w:cs="Times New Roman"/>
      <w:sz w:val="24"/>
      <w:szCs w:val="24"/>
    </w:rPr>
  </w:style>
  <w:style w:type="paragraph" w:styleId="ListParagraph">
    <w:name w:val="List Paragraph"/>
    <w:basedOn w:val="Normal"/>
    <w:uiPriority w:val="34"/>
    <w:qFormat/>
    <w:rsid w:val="00A178A4"/>
    <w:pPr>
      <w:ind w:left="720"/>
      <w:contextualSpacing/>
    </w:pPr>
  </w:style>
  <w:style w:type="character" w:customStyle="1" w:styleId="BodyTextChar">
    <w:name w:val="Body Text Char"/>
    <w:link w:val="BodyText"/>
    <w:rsid w:val="00435B8E"/>
    <w:rPr>
      <w:szCs w:val="28"/>
      <w:shd w:val="clear" w:color="auto" w:fill="FFFFFF"/>
    </w:rPr>
  </w:style>
  <w:style w:type="paragraph" w:styleId="BodyText">
    <w:name w:val="Body Text"/>
    <w:basedOn w:val="Normal"/>
    <w:link w:val="BodyTextChar"/>
    <w:qFormat/>
    <w:rsid w:val="00435B8E"/>
    <w:pPr>
      <w:widowControl w:val="0"/>
      <w:shd w:val="clear" w:color="auto" w:fill="FFFFFF"/>
      <w:spacing w:after="120" w:line="276" w:lineRule="auto"/>
      <w:ind w:firstLine="400"/>
    </w:pPr>
    <w:rPr>
      <w:rFonts w:asciiTheme="minorHAnsi" w:eastAsiaTheme="minorHAnsi" w:hAnsiTheme="minorHAnsi" w:cstheme="minorBidi"/>
      <w:sz w:val="22"/>
    </w:rPr>
  </w:style>
  <w:style w:type="character" w:customStyle="1" w:styleId="BodyTextChar1">
    <w:name w:val="Body Text Char1"/>
    <w:basedOn w:val="DefaultParagraphFont"/>
    <w:uiPriority w:val="99"/>
    <w:semiHidden/>
    <w:rsid w:val="00435B8E"/>
    <w:rPr>
      <w:rFonts w:ascii="Times New Roman" w:eastAsia="Times New Roman" w:hAnsi="Times New Roman" w:cs="Times New Roman"/>
      <w:sz w:val="28"/>
      <w:szCs w:val="28"/>
    </w:rPr>
  </w:style>
  <w:style w:type="paragraph" w:styleId="BodyText2">
    <w:name w:val="Body Text 2"/>
    <w:basedOn w:val="Normal"/>
    <w:link w:val="BodyText2Char"/>
    <w:uiPriority w:val="99"/>
    <w:unhideWhenUsed/>
    <w:rsid w:val="00456578"/>
    <w:pPr>
      <w:spacing w:after="120" w:line="480" w:lineRule="auto"/>
    </w:pPr>
  </w:style>
  <w:style w:type="character" w:customStyle="1" w:styleId="BodyText2Char">
    <w:name w:val="Body Text 2 Char"/>
    <w:basedOn w:val="DefaultParagraphFont"/>
    <w:link w:val="BodyText2"/>
    <w:rsid w:val="00456578"/>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semiHidden/>
    <w:unhideWhenUsed/>
    <w:rsid w:val="001C6331"/>
    <w:pPr>
      <w:spacing w:after="120" w:line="480" w:lineRule="auto"/>
      <w:ind w:left="283"/>
    </w:pPr>
  </w:style>
  <w:style w:type="character" w:customStyle="1" w:styleId="BodyTextIndent2Char">
    <w:name w:val="Body Text Indent 2 Char"/>
    <w:basedOn w:val="DefaultParagraphFont"/>
    <w:link w:val="BodyTextIndent2"/>
    <w:uiPriority w:val="99"/>
    <w:semiHidden/>
    <w:rsid w:val="001C6331"/>
    <w:rPr>
      <w:rFonts w:ascii="Times New Roman" w:eastAsia="Times New Roman" w:hAnsi="Times New Roman" w:cs="Times New Roman"/>
      <w:sz w:val="28"/>
      <w:szCs w:val="28"/>
    </w:rPr>
  </w:style>
  <w:style w:type="character" w:styleId="Strong">
    <w:name w:val="Strong"/>
    <w:uiPriority w:val="99"/>
    <w:qFormat/>
    <w:rsid w:val="00790822"/>
    <w:rPr>
      <w:rFonts w:cs="Times New Roman"/>
      <w:b/>
      <w:bCs/>
    </w:rPr>
  </w:style>
  <w:style w:type="character" w:styleId="CommentReference">
    <w:name w:val="annotation reference"/>
    <w:basedOn w:val="DefaultParagraphFont"/>
    <w:uiPriority w:val="99"/>
    <w:semiHidden/>
    <w:unhideWhenUsed/>
    <w:rsid w:val="00046E5D"/>
    <w:rPr>
      <w:sz w:val="16"/>
      <w:szCs w:val="16"/>
    </w:rPr>
  </w:style>
  <w:style w:type="paragraph" w:styleId="CommentText">
    <w:name w:val="annotation text"/>
    <w:basedOn w:val="Normal"/>
    <w:link w:val="CommentTextChar"/>
    <w:uiPriority w:val="99"/>
    <w:unhideWhenUsed/>
    <w:rsid w:val="00046E5D"/>
    <w:rPr>
      <w:sz w:val="20"/>
      <w:szCs w:val="20"/>
    </w:rPr>
  </w:style>
  <w:style w:type="character" w:customStyle="1" w:styleId="CommentTextChar">
    <w:name w:val="Comment Text Char"/>
    <w:basedOn w:val="DefaultParagraphFont"/>
    <w:link w:val="CommentText"/>
    <w:uiPriority w:val="99"/>
    <w:rsid w:val="00046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E5D"/>
    <w:rPr>
      <w:b/>
      <w:bCs/>
    </w:rPr>
  </w:style>
  <w:style w:type="character" w:customStyle="1" w:styleId="CommentSubjectChar">
    <w:name w:val="Comment Subject Char"/>
    <w:basedOn w:val="CommentTextChar"/>
    <w:link w:val="CommentSubject"/>
    <w:uiPriority w:val="99"/>
    <w:semiHidden/>
    <w:rsid w:val="00046E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EE0"/>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E200E"/>
    <w:rPr>
      <w:rFonts w:asciiTheme="majorHAnsi" w:eastAsiaTheme="majorEastAsia" w:hAnsiTheme="majorHAnsi" w:cstheme="majorBidi"/>
      <w:color w:val="365F91" w:themeColor="accent1" w:themeShade="BF"/>
      <w:sz w:val="32"/>
      <w:szCs w:val="32"/>
    </w:rPr>
  </w:style>
  <w:style w:type="paragraph" w:customStyle="1" w:styleId="Char">
    <w:name w:val="Char"/>
    <w:basedOn w:val="Normal"/>
    <w:autoRedefine/>
    <w:rsid w:val="00133D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F542D5"/>
    <w:rPr>
      <w:color w:val="0000FF"/>
      <w:u w:val="single"/>
    </w:rPr>
  </w:style>
  <w:style w:type="character" w:customStyle="1" w:styleId="Bodytext20">
    <w:name w:val="Body text (2)_"/>
    <w:link w:val="Bodytext21"/>
    <w:rsid w:val="00F542D5"/>
    <w:rPr>
      <w:rFonts w:ascii="Special#Default Metrics Font" w:eastAsia="Special#Default Metrics Font" w:hAnsi="Special#Default Metrics Font" w:cs="Special#Default Metrics Font"/>
      <w:spacing w:val="-10"/>
      <w:shd w:val="clear" w:color="auto" w:fill="FFFFFF"/>
    </w:rPr>
  </w:style>
  <w:style w:type="paragraph" w:customStyle="1" w:styleId="Bodytext21">
    <w:name w:val="Body text (2)"/>
    <w:basedOn w:val="Normal"/>
    <w:link w:val="Bodytext20"/>
    <w:rsid w:val="00F542D5"/>
    <w:pPr>
      <w:widowControl w:val="0"/>
      <w:shd w:val="clear" w:color="auto" w:fill="FFFFFF"/>
      <w:spacing w:before="180" w:after="60" w:line="0" w:lineRule="atLeast"/>
      <w:jc w:val="both"/>
    </w:pPr>
    <w:rPr>
      <w:rFonts w:ascii="Special#Default Metrics Font" w:eastAsia="Special#Default Metrics Font" w:hAnsi="Special#Default Metrics Font" w:cs="Special#Default Metrics Font"/>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9E20-9932-044D-AF3A-C486C349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Thang</cp:lastModifiedBy>
  <cp:revision>5</cp:revision>
  <cp:lastPrinted>2020-11-11T08:20:00Z</cp:lastPrinted>
  <dcterms:created xsi:type="dcterms:W3CDTF">2022-05-08T20:06:00Z</dcterms:created>
  <dcterms:modified xsi:type="dcterms:W3CDTF">2022-05-11T10:54:00Z</dcterms:modified>
</cp:coreProperties>
</file>